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20" w:rsidRDefault="00070220" w:rsidP="00070220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А  Д  М  И  Н  И  С  Т  </w:t>
      </w: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 А  Ц И Я</w:t>
      </w:r>
    </w:p>
    <w:p w:rsidR="00070220" w:rsidRDefault="00070220" w:rsidP="00070220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(исполнительно-распорядительный орган)</w:t>
      </w:r>
    </w:p>
    <w:p w:rsidR="00070220" w:rsidRDefault="00070220" w:rsidP="00070220">
      <w:pPr>
        <w:pStyle w:val="a3"/>
        <w:jc w:val="center"/>
        <w:rPr>
          <w:b/>
          <w:sz w:val="20"/>
          <w:szCs w:val="20"/>
          <w:lang w:val="ru-RU"/>
        </w:rPr>
      </w:pPr>
      <w:r>
        <w:rPr>
          <w:b/>
          <w:lang w:val="ru-RU"/>
        </w:rPr>
        <w:t>сельского  поселения  «Село Букань»</w:t>
      </w:r>
    </w:p>
    <w:p w:rsidR="00070220" w:rsidRDefault="00070220" w:rsidP="00070220">
      <w:pPr>
        <w:pStyle w:val="a3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Людиновского</w:t>
      </w:r>
      <w:proofErr w:type="spellEnd"/>
      <w:r>
        <w:rPr>
          <w:b/>
          <w:sz w:val="28"/>
          <w:szCs w:val="28"/>
          <w:lang w:val="ru-RU"/>
        </w:rPr>
        <w:t xml:space="preserve"> района, Калужской области</w:t>
      </w:r>
    </w:p>
    <w:p w:rsidR="00070220" w:rsidRDefault="00070220" w:rsidP="00070220">
      <w:pPr>
        <w:pStyle w:val="a3"/>
        <w:jc w:val="center"/>
        <w:rPr>
          <w:b/>
          <w:lang w:val="ru-RU"/>
        </w:rPr>
      </w:pPr>
    </w:p>
    <w:p w:rsidR="00070220" w:rsidRDefault="00070220" w:rsidP="00070220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ПОСТАНОВЛЕНИЕ</w:t>
      </w:r>
    </w:p>
    <w:p w:rsidR="00070220" w:rsidRDefault="00070220" w:rsidP="00070220">
      <w:pPr>
        <w:pStyle w:val="a3"/>
        <w:jc w:val="center"/>
        <w:rPr>
          <w:b/>
          <w:lang w:val="ru-RU"/>
        </w:rPr>
      </w:pPr>
    </w:p>
    <w:p w:rsidR="00070220" w:rsidRDefault="00070220" w:rsidP="00070220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от 30.10.2020г.                                                                                                                              №24</w:t>
      </w:r>
    </w:p>
    <w:p w:rsidR="00070220" w:rsidRDefault="00070220" w:rsidP="00070220">
      <w:pPr>
        <w:pStyle w:val="a3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070220" w:rsidTr="0007022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220" w:rsidRDefault="0007022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Cs w:val="24"/>
              </w:rPr>
              <w:t>О внесении изменений в постановление администрации сельского поселения «Село Букань» от 09.08.2017 г.№21  «Об утверждении перечня муниципального имущества сельского поселения «Село Букань», свободного от прав третьих лиц,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</w:tr>
    </w:tbl>
    <w:p w:rsidR="00070220" w:rsidRDefault="00070220" w:rsidP="00070220">
      <w:r>
        <w:t xml:space="preserve">              В соответствии со статьей  18 Федерального закона от 24.07.2007 №209 «О развитии  малого и среднего  предпринимательства  в  Российской Федерации «</w:t>
      </w:r>
      <w:proofErr w:type="gramStart"/>
      <w:r>
        <w:t xml:space="preserve"> ,</w:t>
      </w:r>
      <w:proofErr w:type="gramEnd"/>
      <w:r>
        <w:t xml:space="preserve"> администрация  сельского поселении я  «Село Букань»    ПОСТАНОВЛЯЕТ:</w:t>
      </w:r>
    </w:p>
    <w:p w:rsidR="00070220" w:rsidRDefault="00070220" w:rsidP="00070220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Внести  в постановление администрации сельского поселения «Село Букань» 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</w:t>
      </w:r>
    </w:p>
    <w:p w:rsidR="00070220" w:rsidRDefault="00070220" w:rsidP="00070220">
      <w:pPr>
        <w:pStyle w:val="a3"/>
        <w:ind w:left="825"/>
        <w:rPr>
          <w:lang w:val="ru-RU"/>
        </w:rPr>
      </w:pPr>
      <w:r>
        <w:rPr>
          <w:lang w:val="ru-RU"/>
        </w:rPr>
        <w:t>09.08.2017 №21 «</w:t>
      </w:r>
      <w:r>
        <w:rPr>
          <w:szCs w:val="24"/>
          <w:lang w:val="ru-RU"/>
        </w:rPr>
        <w:t>«Об утверждении перечня муниципального имущества сельского поселения «Село Букань», свободного от прав третьих лиц,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следующие изменения:</w:t>
      </w:r>
    </w:p>
    <w:p w:rsidR="00070220" w:rsidRDefault="00070220" w:rsidP="00070220">
      <w:pPr>
        <w:pStyle w:val="a3"/>
        <w:rPr>
          <w:sz w:val="26"/>
          <w:szCs w:val="26"/>
          <w:lang w:val="ru-RU"/>
        </w:rPr>
      </w:pPr>
      <w:r>
        <w:rPr>
          <w:szCs w:val="24"/>
          <w:lang w:val="ru-RU"/>
        </w:rPr>
        <w:t xml:space="preserve">       1.1.Перечень муниципального имущества   </w:t>
      </w:r>
      <w:r>
        <w:rPr>
          <w:sz w:val="26"/>
          <w:szCs w:val="26"/>
          <w:lang w:val="ru-RU"/>
        </w:rPr>
        <w:t xml:space="preserve"> сельского поселения «Село Букань», свободного от прав третьих лиц, предназначенного  для предоставления во владение </w:t>
      </w:r>
      <w:proofErr w:type="gramStart"/>
      <w:r>
        <w:rPr>
          <w:sz w:val="26"/>
          <w:szCs w:val="26"/>
          <w:lang w:val="ru-RU"/>
        </w:rPr>
        <w:t>и(</w:t>
      </w:r>
      <w:proofErr w:type="gramEnd"/>
      <w:r>
        <w:rPr>
          <w:sz w:val="26"/>
          <w:szCs w:val="26"/>
          <w:lang w:val="ru-RU"/>
        </w:rPr>
        <w:t>или) пользование субъектам малого и среднего предпринимательства  изложить   в новой редакции(прилагается).</w:t>
      </w:r>
    </w:p>
    <w:p w:rsidR="00070220" w:rsidRDefault="00070220" w:rsidP="00070220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2.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Настоящее  постановление вступает в силу со дня его официального опубликования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бнародования и подлежит  размещению  на официальном сайте администрации  сельского поселения «Село Букань».</w:t>
      </w:r>
    </w:p>
    <w:p w:rsidR="00070220" w:rsidRDefault="00070220" w:rsidP="00070220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3.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 настоящего  постановления  возложить  на главу  адми</w:t>
      </w:r>
      <w:r w:rsidR="00A03E7F">
        <w:rPr>
          <w:rFonts w:ascii="Times New Roman" w:hAnsi="Times New Roman" w:cs="Times New Roman"/>
          <w:sz w:val="26"/>
          <w:szCs w:val="26"/>
          <w:lang w:val="ru-RU"/>
        </w:rPr>
        <w:t>нистрации   сельского поселени</w:t>
      </w:r>
      <w:r>
        <w:rPr>
          <w:rFonts w:ascii="Times New Roman" w:hAnsi="Times New Roman" w:cs="Times New Roman"/>
          <w:sz w:val="26"/>
          <w:szCs w:val="26"/>
          <w:lang w:val="ru-RU"/>
        </w:rPr>
        <w:t>я «Село Букань»  А.П. Воротнева.</w:t>
      </w:r>
    </w:p>
    <w:p w:rsidR="00070220" w:rsidRDefault="00070220" w:rsidP="00070220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070220" w:rsidRDefault="00070220" w:rsidP="00070220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70220" w:rsidRDefault="00070220" w:rsidP="00070220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поселения «Село Букань»                                               А.П.Воротнев.</w:t>
      </w:r>
    </w:p>
    <w:p w:rsidR="00070220" w:rsidRDefault="00070220" w:rsidP="00070220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070220" w:rsidRDefault="00070220" w:rsidP="00070220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070220" w:rsidRDefault="00070220" w:rsidP="00070220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070220" w:rsidRDefault="00070220" w:rsidP="00070220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070220" w:rsidRDefault="00070220" w:rsidP="00070220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070220" w:rsidRDefault="00070220" w:rsidP="00070220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070220" w:rsidRDefault="00070220" w:rsidP="00070220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070220" w:rsidRDefault="00070220" w:rsidP="00070220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pPr w:leftFromText="180" w:rightFromText="180" w:bottomFromText="200" w:vertAnchor="text" w:horzAnchor="page" w:tblpX="6877" w:tblpY="78"/>
        <w:tblW w:w="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0"/>
      </w:tblGrid>
      <w:tr w:rsidR="00070220" w:rsidTr="00070220">
        <w:trPr>
          <w:trHeight w:val="263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070220" w:rsidRDefault="00070220" w:rsidP="00070220">
            <w:pPr>
              <w:ind w:right="-1"/>
              <w:jc w:val="both"/>
              <w:rPr>
                <w:rFonts w:eastAsia="Arial" w:cs="Arial"/>
                <w:sz w:val="24"/>
                <w:szCs w:val="24"/>
              </w:rPr>
            </w:pPr>
          </w:p>
        </w:tc>
      </w:tr>
    </w:tbl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autoSpaceDE w:val="0"/>
        <w:rPr>
          <w:rFonts w:ascii="Arial" w:eastAsia="Arial" w:hAnsi="Arial" w:cs="Arial"/>
          <w:sz w:val="20"/>
          <w:szCs w:val="20"/>
        </w:rPr>
      </w:pPr>
    </w:p>
    <w:p w:rsidR="00070220" w:rsidRDefault="00070220" w:rsidP="00070220">
      <w:pPr>
        <w:ind w:right="-1"/>
        <w:jc w:val="right"/>
      </w:pPr>
      <w:r>
        <w:rPr>
          <w:rFonts w:eastAsia="Arial" w:cs="Arial"/>
          <w:szCs w:val="24"/>
        </w:rPr>
        <w:lastRenderedPageBreak/>
        <w:tab/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>
        <w:t xml:space="preserve">Приложение к постановлению администрации </w:t>
      </w:r>
    </w:p>
    <w:p w:rsidR="00070220" w:rsidRDefault="00070220" w:rsidP="00070220">
      <w:pPr>
        <w:ind w:right="-1"/>
        <w:jc w:val="right"/>
      </w:pPr>
      <w:r>
        <w:t>сельского поселения «Село Букань» от 30.10.2020 № 24</w:t>
      </w:r>
    </w:p>
    <w:p w:rsidR="00070220" w:rsidRDefault="00070220" w:rsidP="00070220">
      <w:pPr>
        <w:ind w:right="-390"/>
        <w:jc w:val="center"/>
        <w:rPr>
          <w:rFonts w:ascii="Times New Roman" w:eastAsia="Arial" w:hAnsi="Times New Roman" w:cs="Arial"/>
          <w:sz w:val="24"/>
          <w:szCs w:val="24"/>
        </w:rPr>
      </w:pPr>
    </w:p>
    <w:p w:rsidR="00070220" w:rsidRDefault="00070220" w:rsidP="00070220">
      <w:pPr>
        <w:ind w:right="-390"/>
        <w:jc w:val="center"/>
        <w:rPr>
          <w:rFonts w:eastAsia="Arial" w:cs="Arial"/>
          <w:szCs w:val="24"/>
        </w:rPr>
      </w:pPr>
    </w:p>
    <w:p w:rsidR="00070220" w:rsidRDefault="00070220" w:rsidP="00070220">
      <w:pPr>
        <w:ind w:right="-39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070220" w:rsidRDefault="00070220" w:rsidP="00070220">
      <w:pPr>
        <w:ind w:right="-390"/>
        <w:jc w:val="center"/>
        <w:rPr>
          <w:rFonts w:eastAsia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имущества сельского поселения «Село Букань», свободного от прав третьих лиц,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0220" w:rsidRDefault="00070220" w:rsidP="00070220">
      <w:pPr>
        <w:ind w:right="-390"/>
        <w:jc w:val="center"/>
        <w:rPr>
          <w:b/>
          <w:sz w:val="26"/>
          <w:szCs w:val="26"/>
        </w:rPr>
      </w:pPr>
    </w:p>
    <w:p w:rsidR="00070220" w:rsidRDefault="00070220" w:rsidP="00070220">
      <w:pPr>
        <w:jc w:val="center"/>
        <w:rPr>
          <w:b/>
          <w:sz w:val="24"/>
          <w:szCs w:val="20"/>
        </w:rPr>
      </w:pPr>
    </w:p>
    <w:p w:rsidR="00070220" w:rsidRDefault="00070220" w:rsidP="000702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676"/>
        <w:gridCol w:w="1500"/>
        <w:gridCol w:w="2213"/>
        <w:gridCol w:w="1498"/>
        <w:gridCol w:w="2152"/>
      </w:tblGrid>
      <w:tr w:rsidR="00070220" w:rsidTr="000702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widowControl w:val="0"/>
              <w:suppressAutoHyphens/>
              <w:jc w:val="center"/>
              <w:rPr>
                <w:sz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widowControl w:val="0"/>
              <w:suppressAutoHyphens/>
              <w:jc w:val="center"/>
              <w:rPr>
                <w:sz w:val="24"/>
              </w:rPr>
            </w:pPr>
            <w:r>
              <w:t>Наименование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>Адрес</w:t>
            </w:r>
          </w:p>
          <w:p w:rsidR="00070220" w:rsidRDefault="00070220">
            <w:pPr>
              <w:widowControl w:val="0"/>
              <w:suppressAutoHyphens/>
              <w:jc w:val="center"/>
              <w:rPr>
                <w:sz w:val="24"/>
              </w:rPr>
            </w:pPr>
            <w:r>
              <w:t>объекта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ru-RU"/>
              </w:rPr>
            </w:pPr>
            <w:r>
              <w:rPr>
                <w:color w:val="000000"/>
                <w:lang w:bidi="ru-RU"/>
              </w:rPr>
              <w:t>Идентификационные</w:t>
            </w:r>
          </w:p>
          <w:p w:rsidR="00070220" w:rsidRDefault="00070220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r>
              <w:rPr>
                <w:color w:val="000000"/>
                <w:lang w:bidi="ru-RU"/>
              </w:rPr>
              <w:t>Характеристики объекта (кадастровый номер, идентификационный номер и др.)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widowControl w:val="0"/>
              <w:suppressAutoHyphens/>
              <w:jc w:val="center"/>
              <w:rPr>
                <w:sz w:val="24"/>
              </w:rPr>
            </w:pPr>
            <w:r>
              <w:t>Технические параметры объекта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widowControl w:val="0"/>
              <w:suppressAutoHyphens/>
              <w:jc w:val="center"/>
              <w:rPr>
                <w:sz w:val="24"/>
              </w:rPr>
            </w:pPr>
            <w:r>
              <w:t>Примечание</w:t>
            </w:r>
          </w:p>
        </w:tc>
      </w:tr>
      <w:tr w:rsidR="00070220" w:rsidTr="000702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widowControl w:val="0"/>
              <w:suppressAutoHyphens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widowControl w:val="0"/>
              <w:suppressAutoHyphens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widowControl w:val="0"/>
              <w:suppressAutoHyphens/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widowControl w:val="0"/>
              <w:suppressAutoHyphens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widowControl w:val="0"/>
              <w:suppressAutoHyphens/>
              <w:jc w:val="center"/>
              <w:rPr>
                <w:sz w:val="24"/>
              </w:rPr>
            </w:pPr>
            <w: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widowControl w:val="0"/>
              <w:suppressAutoHyphens/>
              <w:jc w:val="center"/>
              <w:rPr>
                <w:sz w:val="24"/>
              </w:rPr>
            </w:pPr>
            <w:r>
              <w:t>6</w:t>
            </w:r>
          </w:p>
        </w:tc>
      </w:tr>
      <w:tr w:rsidR="00070220" w:rsidTr="000702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widowControl w:val="0"/>
              <w:suppressAutoHyphens/>
              <w:rPr>
                <w:b/>
                <w:sz w:val="24"/>
              </w:rPr>
            </w:pPr>
            <w:proofErr w:type="gramStart"/>
            <w:r>
              <w:rPr>
                <w:sz w:val="20"/>
              </w:rPr>
              <w:t>Калужская</w:t>
            </w:r>
            <w:proofErr w:type="gramEnd"/>
            <w:r>
              <w:rPr>
                <w:sz w:val="20"/>
              </w:rPr>
              <w:t xml:space="preserve"> обл., </w:t>
            </w:r>
            <w:proofErr w:type="spellStart"/>
            <w:r>
              <w:rPr>
                <w:sz w:val="20"/>
              </w:rPr>
              <w:t>Людиновский</w:t>
            </w:r>
            <w:proofErr w:type="spellEnd"/>
            <w:r>
              <w:rPr>
                <w:sz w:val="20"/>
              </w:rPr>
              <w:t xml:space="preserve">  район, КСП «</w:t>
            </w:r>
            <w:proofErr w:type="spellStart"/>
            <w:r>
              <w:rPr>
                <w:sz w:val="20"/>
              </w:rPr>
              <w:t>Буканское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widowControl w:val="0"/>
              <w:suppressAutoHyphens/>
              <w:jc w:val="center"/>
              <w:rPr>
                <w:sz w:val="24"/>
              </w:rPr>
            </w:pPr>
            <w:r>
              <w:t>Кадастровый номер  40:12:051101:31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widowControl w:val="0"/>
              <w:suppressAutoHyphens/>
              <w:jc w:val="center"/>
              <w:rPr>
                <w:sz w:val="24"/>
              </w:rPr>
            </w:pPr>
            <w:r>
              <w:t>12  000 кв</w:t>
            </w:r>
            <w:proofErr w:type="gramStart"/>
            <w:r>
              <w:t>.м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20" w:rsidRDefault="00070220">
            <w:pPr>
              <w:widowControl w:val="0"/>
              <w:suppressAutoHyphens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категория земель – земли   сельскохозяйственного назначения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вид разрешенного использования – для  сельскохозяйственного производства</w:t>
            </w:r>
          </w:p>
        </w:tc>
      </w:tr>
    </w:tbl>
    <w:p w:rsidR="00070220" w:rsidRDefault="00070220" w:rsidP="00070220">
      <w:pPr>
        <w:jc w:val="center"/>
        <w:rPr>
          <w:b/>
          <w:szCs w:val="20"/>
        </w:rPr>
      </w:pPr>
    </w:p>
    <w:p w:rsidR="00070220" w:rsidRDefault="00070220" w:rsidP="00070220">
      <w:pPr>
        <w:jc w:val="center"/>
        <w:rPr>
          <w:b/>
        </w:rPr>
      </w:pPr>
    </w:p>
    <w:p w:rsidR="00070220" w:rsidRDefault="00070220" w:rsidP="00070220">
      <w:pPr>
        <w:jc w:val="center"/>
        <w:rPr>
          <w:b/>
        </w:rPr>
      </w:pPr>
    </w:p>
    <w:p w:rsidR="00070220" w:rsidRDefault="00070220" w:rsidP="00070220">
      <w:pPr>
        <w:jc w:val="center"/>
        <w:rPr>
          <w:b/>
        </w:rPr>
      </w:pPr>
    </w:p>
    <w:p w:rsidR="00070220" w:rsidRDefault="00070220" w:rsidP="00070220">
      <w:pPr>
        <w:ind w:right="-390"/>
        <w:jc w:val="center"/>
        <w:rPr>
          <w:rFonts w:eastAsia="Arial" w:cs="Arial"/>
          <w:szCs w:val="24"/>
        </w:rPr>
      </w:pPr>
    </w:p>
    <w:p w:rsidR="00A31E92" w:rsidRDefault="00A31E92"/>
    <w:sectPr w:rsidR="00A31E92" w:rsidSect="00D5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2E66"/>
    <w:multiLevelType w:val="multilevel"/>
    <w:tmpl w:val="E31E8D0C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1905" w:hanging="720"/>
      </w:pPr>
    </w:lvl>
    <w:lvl w:ilvl="3">
      <w:start w:val="1"/>
      <w:numFmt w:val="decimal"/>
      <w:isLgl/>
      <w:lvlText w:val="%1.%2.%3.%4."/>
      <w:lvlJc w:val="left"/>
      <w:pPr>
        <w:ind w:left="2625" w:hanging="1080"/>
      </w:pPr>
    </w:lvl>
    <w:lvl w:ilvl="4">
      <w:start w:val="1"/>
      <w:numFmt w:val="decimal"/>
      <w:isLgl/>
      <w:lvlText w:val="%1.%2.%3.%4.%5."/>
      <w:lvlJc w:val="left"/>
      <w:pPr>
        <w:ind w:left="2985" w:hanging="1080"/>
      </w:pPr>
    </w:lvl>
    <w:lvl w:ilvl="5">
      <w:start w:val="1"/>
      <w:numFmt w:val="decimal"/>
      <w:isLgl/>
      <w:lvlText w:val="%1.%2.%3.%4.%5.%6."/>
      <w:lvlJc w:val="left"/>
      <w:pPr>
        <w:ind w:left="3705" w:hanging="1440"/>
      </w:pPr>
    </w:lvl>
    <w:lvl w:ilvl="6">
      <w:start w:val="1"/>
      <w:numFmt w:val="decimal"/>
      <w:isLgl/>
      <w:lvlText w:val="%1.%2.%3.%4.%5.%6.%7."/>
      <w:lvlJc w:val="left"/>
      <w:pPr>
        <w:ind w:left="4065" w:hanging="144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14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220"/>
    <w:rsid w:val="00070220"/>
    <w:rsid w:val="00A03E7F"/>
    <w:rsid w:val="00A31E92"/>
    <w:rsid w:val="00D5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70220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2021-01-13T09:16:00Z</dcterms:created>
  <dcterms:modified xsi:type="dcterms:W3CDTF">2021-01-13T09:49:00Z</dcterms:modified>
</cp:coreProperties>
</file>