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72" w:rsidRPr="00C953C5" w:rsidRDefault="004C5A72" w:rsidP="00315A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</w:t>
      </w:r>
    </w:p>
    <w:p w:rsidR="004C5A72" w:rsidRPr="00C953C5" w:rsidRDefault="004C5A72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5A72" w:rsidRPr="00734A1B" w:rsidRDefault="00C0614C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C953C5" w:rsidRPr="00734A1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марта</w:t>
      </w:r>
      <w:r w:rsidR="00CC32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3EE" w:rsidRPr="00FF00E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F23EE" w:rsidRPr="00734A1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C5A72" w:rsidRPr="00734A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00E7" w:rsidRPr="00C953C5" w:rsidRDefault="00FF00E7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6DC7" w:rsidRDefault="0075789D" w:rsidP="00F75A9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по </w:t>
      </w:r>
      <w:r w:rsidRPr="009C60AB">
        <w:rPr>
          <w:rFonts w:ascii="Times New Roman" w:hAnsi="Times New Roman" w:cs="Times New Roman"/>
          <w:sz w:val="24"/>
          <w:szCs w:val="24"/>
          <w:u w:val="single"/>
        </w:rPr>
        <w:t xml:space="preserve">проекту </w:t>
      </w:r>
      <w:r w:rsidR="00C0614C">
        <w:rPr>
          <w:rFonts w:ascii="Times New Roman" w:hAnsi="Times New Roman" w:cs="Times New Roman"/>
          <w:sz w:val="24"/>
          <w:szCs w:val="24"/>
          <w:u w:val="single"/>
        </w:rPr>
        <w:t>внесения изменений в</w:t>
      </w:r>
      <w:r w:rsidR="00C0614C" w:rsidRPr="00C0614C">
        <w:rPr>
          <w:rFonts w:ascii="Times New Roman" w:hAnsi="Times New Roman" w:cs="Times New Roman"/>
          <w:sz w:val="24"/>
          <w:szCs w:val="24"/>
          <w:u w:val="single"/>
        </w:rPr>
        <w:t xml:space="preserve"> Генеральный план муниципального образования «Людиновский муниципальный округ Калужской области» применительно к населенным пунктам город Людиново и деревня Колотовка</w:t>
      </w:r>
      <w:r w:rsidR="00B64224" w:rsidRPr="00C061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224">
        <w:rPr>
          <w:rFonts w:ascii="Times New Roman" w:hAnsi="Times New Roman" w:cs="Times New Roman"/>
          <w:sz w:val="24"/>
          <w:szCs w:val="24"/>
          <w:u w:val="single"/>
        </w:rPr>
        <w:t xml:space="preserve">проведены </w:t>
      </w:r>
      <w:r w:rsidR="00F31E60" w:rsidRPr="00F31E6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C0614C" w:rsidRPr="00C0614C">
        <w:rPr>
          <w:rFonts w:ascii="Times New Roman" w:hAnsi="Times New Roman" w:cs="Times New Roman"/>
          <w:sz w:val="24"/>
          <w:szCs w:val="24"/>
        </w:rPr>
        <w:t>20.02.2026 по 27.02.2026</w:t>
      </w:r>
      <w:r w:rsidR="00F31E60" w:rsidRPr="00F31E60">
        <w:rPr>
          <w:rFonts w:ascii="Times New Roman" w:hAnsi="Times New Roman" w:cs="Times New Roman"/>
          <w:sz w:val="24"/>
          <w:szCs w:val="24"/>
        </w:rPr>
        <w:t xml:space="preserve">. Собрание участников публичных слушаний прошло </w:t>
      </w:r>
      <w:r w:rsidR="00C0614C">
        <w:rPr>
          <w:rFonts w:ascii="Times New Roman" w:hAnsi="Times New Roman" w:cs="Times New Roman"/>
          <w:sz w:val="24"/>
          <w:szCs w:val="24"/>
        </w:rPr>
        <w:t>27</w:t>
      </w:r>
      <w:r w:rsidR="00F31E60" w:rsidRPr="00F31E60">
        <w:rPr>
          <w:rFonts w:ascii="Times New Roman" w:hAnsi="Times New Roman" w:cs="Times New Roman"/>
          <w:sz w:val="24"/>
          <w:szCs w:val="24"/>
        </w:rPr>
        <w:t>.</w:t>
      </w:r>
      <w:r w:rsidR="00C0614C">
        <w:rPr>
          <w:rFonts w:ascii="Times New Roman" w:hAnsi="Times New Roman" w:cs="Times New Roman"/>
          <w:sz w:val="24"/>
          <w:szCs w:val="24"/>
        </w:rPr>
        <w:t>02.2026</w:t>
      </w:r>
      <w:r w:rsidR="00F31E60" w:rsidRPr="00F31E60">
        <w:rPr>
          <w:rFonts w:ascii="Times New Roman" w:hAnsi="Times New Roman" w:cs="Times New Roman"/>
          <w:sz w:val="24"/>
          <w:szCs w:val="24"/>
        </w:rPr>
        <w:t xml:space="preserve"> в 1</w:t>
      </w:r>
      <w:r w:rsidR="00173A02">
        <w:rPr>
          <w:rFonts w:ascii="Times New Roman" w:hAnsi="Times New Roman" w:cs="Times New Roman"/>
          <w:sz w:val="24"/>
          <w:szCs w:val="24"/>
        </w:rPr>
        <w:t>4</w:t>
      </w:r>
      <w:r w:rsidR="00F31E60" w:rsidRPr="00F31E60">
        <w:rPr>
          <w:rFonts w:ascii="Times New Roman" w:hAnsi="Times New Roman" w:cs="Times New Roman"/>
          <w:sz w:val="24"/>
          <w:szCs w:val="24"/>
        </w:rPr>
        <w:t xml:space="preserve"> часов 30 минут </w:t>
      </w:r>
      <w:r w:rsidR="006E6DC7" w:rsidRPr="006E6DC7">
        <w:rPr>
          <w:rFonts w:ascii="Times New Roman" w:hAnsi="Times New Roman" w:cs="Times New Roman"/>
          <w:sz w:val="24"/>
          <w:szCs w:val="24"/>
        </w:rPr>
        <w:t xml:space="preserve">в здании </w:t>
      </w:r>
      <w:r w:rsidR="00C0614C" w:rsidRPr="00C0614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0614C" w:rsidRPr="00C0614C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C0614C" w:rsidRPr="00C0614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</w:t>
      </w:r>
      <w:r w:rsidR="00C0614C">
        <w:rPr>
          <w:rFonts w:ascii="Times New Roman" w:hAnsi="Times New Roman" w:cs="Times New Roman"/>
          <w:sz w:val="24"/>
          <w:szCs w:val="24"/>
        </w:rPr>
        <w:t>и</w:t>
      </w:r>
      <w:r w:rsidR="006E6DC7" w:rsidRPr="006E6DC7">
        <w:rPr>
          <w:rFonts w:ascii="Times New Roman" w:hAnsi="Times New Roman" w:cs="Times New Roman"/>
          <w:sz w:val="24"/>
          <w:szCs w:val="24"/>
        </w:rPr>
        <w:t xml:space="preserve"> </w:t>
      </w:r>
      <w:r w:rsidR="00F31E60" w:rsidRPr="00F31E60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</w:t>
      </w:r>
      <w:r w:rsidR="006E6DC7">
        <w:rPr>
          <w:rFonts w:ascii="Times New Roman" w:hAnsi="Times New Roman" w:cs="Times New Roman"/>
          <w:sz w:val="24"/>
          <w:szCs w:val="24"/>
        </w:rPr>
        <w:t>г. Людиново</w:t>
      </w:r>
      <w:r w:rsidR="006E6DC7" w:rsidRPr="006E6DC7">
        <w:rPr>
          <w:rFonts w:ascii="Times New Roman" w:hAnsi="Times New Roman" w:cs="Times New Roman"/>
          <w:sz w:val="24"/>
          <w:szCs w:val="24"/>
        </w:rPr>
        <w:t>, ул. Ленина, д. 20</w:t>
      </w:r>
      <w:r w:rsidR="006E6DC7">
        <w:rPr>
          <w:rFonts w:ascii="Times New Roman" w:hAnsi="Times New Roman" w:cs="Times New Roman"/>
          <w:sz w:val="24"/>
          <w:szCs w:val="24"/>
        </w:rPr>
        <w:t>.</w:t>
      </w:r>
    </w:p>
    <w:p w:rsidR="0003045B" w:rsidRPr="00C953C5" w:rsidRDefault="004C5A72" w:rsidP="00F75A9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В публи</w:t>
      </w:r>
      <w:r w:rsidR="0003045B" w:rsidRPr="00C953C5">
        <w:rPr>
          <w:rFonts w:ascii="Times New Roman" w:hAnsi="Times New Roman" w:cs="Times New Roman"/>
          <w:sz w:val="24"/>
          <w:szCs w:val="24"/>
        </w:rPr>
        <w:t xml:space="preserve">чных слушаниях приняло участие </w:t>
      </w:r>
      <w:r w:rsidR="00C061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24</w:t>
      </w:r>
      <w:r w:rsidRPr="00C953C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0614C">
        <w:rPr>
          <w:rFonts w:ascii="Times New Roman" w:hAnsi="Times New Roman" w:cs="Times New Roman"/>
          <w:sz w:val="24"/>
          <w:szCs w:val="24"/>
        </w:rPr>
        <w:t>а</w:t>
      </w:r>
      <w:r w:rsidRPr="00C953C5">
        <w:rPr>
          <w:rFonts w:ascii="Times New Roman" w:hAnsi="Times New Roman" w:cs="Times New Roman"/>
          <w:sz w:val="24"/>
          <w:szCs w:val="24"/>
        </w:rPr>
        <w:t>.</w:t>
      </w:r>
    </w:p>
    <w:p w:rsidR="006B5BF6" w:rsidRPr="00C953C5" w:rsidRDefault="004C5A72" w:rsidP="006B5BF6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6B5BF6" w:rsidRPr="00C953C5">
        <w:rPr>
          <w:rFonts w:ascii="Times New Roman" w:hAnsi="Times New Roman" w:cs="Times New Roman"/>
          <w:sz w:val="24"/>
          <w:szCs w:val="24"/>
        </w:rPr>
        <w:br/>
      </w:r>
      <w:r w:rsidR="0071408A" w:rsidRPr="00C953C5">
        <w:rPr>
          <w:rFonts w:ascii="Times New Roman" w:hAnsi="Times New Roman" w:cs="Times New Roman"/>
          <w:sz w:val="24"/>
          <w:szCs w:val="24"/>
        </w:rPr>
        <w:t xml:space="preserve">от </w:t>
      </w:r>
      <w:r w:rsidR="00C0614C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71408A" w:rsidRPr="00C953C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0614C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71408A" w:rsidRPr="00C953C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0614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0614C">
        <w:rPr>
          <w:rFonts w:ascii="Times New Roman" w:hAnsi="Times New Roman" w:cs="Times New Roman"/>
          <w:sz w:val="24"/>
          <w:szCs w:val="24"/>
        </w:rPr>
        <w:t xml:space="preserve"> </w:t>
      </w:r>
      <w:r w:rsidR="006B5BF6" w:rsidRPr="00151026">
        <w:rPr>
          <w:rFonts w:ascii="Times New Roman" w:hAnsi="Times New Roman" w:cs="Times New Roman"/>
          <w:sz w:val="24"/>
          <w:szCs w:val="24"/>
        </w:rPr>
        <w:t xml:space="preserve">№ </w:t>
      </w:r>
      <w:r w:rsidR="00112C2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0614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84A9C" w:rsidRPr="00151026">
        <w:rPr>
          <w:rFonts w:ascii="Times New Roman" w:hAnsi="Times New Roman" w:cs="Times New Roman"/>
          <w:sz w:val="24"/>
          <w:szCs w:val="24"/>
          <w:u w:val="single"/>
        </w:rPr>
        <w:t>-П</w:t>
      </w:r>
      <w:r w:rsidRPr="00C953C5">
        <w:rPr>
          <w:rFonts w:ascii="Times New Roman" w:hAnsi="Times New Roman" w:cs="Times New Roman"/>
          <w:sz w:val="24"/>
          <w:szCs w:val="24"/>
        </w:rPr>
        <w:t>, на основании которого подготовлено</w:t>
      </w:r>
      <w:r w:rsidR="00C0614C">
        <w:rPr>
          <w:rFonts w:ascii="Times New Roman" w:hAnsi="Times New Roman" w:cs="Times New Roman"/>
          <w:sz w:val="24"/>
          <w:szCs w:val="24"/>
        </w:rPr>
        <w:t xml:space="preserve"> </w:t>
      </w:r>
      <w:r w:rsidRPr="00C953C5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слушаний.</w:t>
      </w:r>
    </w:p>
    <w:p w:rsidR="006B5BF6" w:rsidRPr="00C953C5" w:rsidRDefault="004C5A72" w:rsidP="006B5BF6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В период проведения публичных слушаний были поданы замечания и</w:t>
      </w:r>
      <w:r w:rsidR="0098125D">
        <w:rPr>
          <w:rFonts w:ascii="Times New Roman" w:hAnsi="Times New Roman" w:cs="Times New Roman"/>
          <w:sz w:val="24"/>
          <w:szCs w:val="24"/>
        </w:rPr>
        <w:t xml:space="preserve"> </w:t>
      </w:r>
      <w:r w:rsidRPr="00C953C5">
        <w:rPr>
          <w:rFonts w:ascii="Times New Roman" w:hAnsi="Times New Roman" w:cs="Times New Roman"/>
          <w:sz w:val="24"/>
          <w:szCs w:val="24"/>
        </w:rPr>
        <w:t>предложения от участников публичных слушаний:</w:t>
      </w:r>
    </w:p>
    <w:p w:rsidR="00654B54" w:rsidRPr="001E4C76" w:rsidRDefault="004C5A72" w:rsidP="00B97AEE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1) от участников публичных слушаний, постоянно проживающих на</w:t>
      </w:r>
      <w:r w:rsidR="00C0614C">
        <w:rPr>
          <w:rFonts w:ascii="Times New Roman" w:hAnsi="Times New Roman" w:cs="Times New Roman"/>
          <w:sz w:val="24"/>
          <w:szCs w:val="24"/>
        </w:rPr>
        <w:t xml:space="preserve"> </w:t>
      </w:r>
      <w:r w:rsidRPr="00C953C5">
        <w:rPr>
          <w:rFonts w:ascii="Times New Roman" w:hAnsi="Times New Roman" w:cs="Times New Roman"/>
          <w:sz w:val="24"/>
          <w:szCs w:val="24"/>
        </w:rPr>
        <w:t>территории, в пределах которой проводятся публичные слушания</w:t>
      </w:r>
      <w:r w:rsidR="00821033">
        <w:rPr>
          <w:rFonts w:ascii="Times New Roman" w:hAnsi="Times New Roman" w:cs="Times New Roman"/>
          <w:sz w:val="24"/>
          <w:szCs w:val="24"/>
        </w:rPr>
        <w:t>,</w:t>
      </w:r>
      <w:r w:rsidR="001E4C76">
        <w:rPr>
          <w:rFonts w:ascii="Times New Roman" w:hAnsi="Times New Roman" w:cs="Times New Roman"/>
          <w:sz w:val="24"/>
          <w:szCs w:val="24"/>
        </w:rPr>
        <w:t xml:space="preserve"> </w:t>
      </w:r>
      <w:r w:rsidR="00C0614C" w:rsidRPr="001E4C76">
        <w:rPr>
          <w:rFonts w:ascii="Times New Roman" w:hAnsi="Times New Roman" w:cs="Times New Roman"/>
          <w:sz w:val="24"/>
          <w:szCs w:val="24"/>
        </w:rPr>
        <w:t>поступали следующие</w:t>
      </w:r>
      <w:r w:rsidR="00C0614C" w:rsidRPr="00C953C5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0614C">
        <w:rPr>
          <w:rFonts w:ascii="Times New Roman" w:hAnsi="Times New Roman" w:cs="Times New Roman"/>
          <w:sz w:val="24"/>
          <w:szCs w:val="24"/>
        </w:rPr>
        <w:t>я</w:t>
      </w:r>
      <w:r w:rsidR="00C0614C" w:rsidRPr="00C953C5">
        <w:rPr>
          <w:rFonts w:ascii="Times New Roman" w:hAnsi="Times New Roman" w:cs="Times New Roman"/>
          <w:sz w:val="24"/>
          <w:szCs w:val="24"/>
        </w:rPr>
        <w:t xml:space="preserve"> или замечани</w:t>
      </w:r>
      <w:r w:rsidR="00C0614C">
        <w:rPr>
          <w:rFonts w:ascii="Times New Roman" w:hAnsi="Times New Roman" w:cs="Times New Roman"/>
          <w:sz w:val="24"/>
          <w:szCs w:val="24"/>
        </w:rPr>
        <w:t>я: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6917"/>
      </w:tblGrid>
      <w:tr w:rsidR="004C5A72" w:rsidRPr="00C953C5" w:rsidTr="00A02755">
        <w:tc>
          <w:tcPr>
            <w:tcW w:w="534" w:type="dxa"/>
          </w:tcPr>
          <w:p w:rsidR="004C5A72" w:rsidRPr="0052312D" w:rsidRDefault="004C5A72" w:rsidP="006B5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2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13" w:type="dxa"/>
          </w:tcPr>
          <w:p w:rsidR="004C5A72" w:rsidRPr="00C953C5" w:rsidRDefault="008773A6" w:rsidP="006B5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</w:t>
            </w:r>
            <w:r w:rsidR="00302C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5A72" w:rsidRPr="00C953C5">
              <w:rPr>
                <w:rFonts w:ascii="Times New Roman" w:hAnsi="Times New Roman" w:cs="Times New Roman"/>
                <w:sz w:val="24"/>
                <w:szCs w:val="24"/>
              </w:rPr>
              <w:t>е предложения (замечания)</w:t>
            </w:r>
          </w:p>
        </w:tc>
        <w:tc>
          <w:tcPr>
            <w:tcW w:w="6917" w:type="dxa"/>
          </w:tcPr>
          <w:p w:rsidR="004C5A72" w:rsidRPr="00C953C5" w:rsidRDefault="004C5A72" w:rsidP="006B5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5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6B5BF6" w:rsidRPr="00C953C5" w:rsidTr="00A02755">
        <w:tc>
          <w:tcPr>
            <w:tcW w:w="534" w:type="dxa"/>
          </w:tcPr>
          <w:p w:rsidR="006B5BF6" w:rsidRPr="00C953C5" w:rsidRDefault="006D5DEC" w:rsidP="007D3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6B5BF6" w:rsidRPr="00383FB1" w:rsidRDefault="006F460A" w:rsidP="008210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строить школу, количество детей уменьшается</w:t>
            </w:r>
          </w:p>
        </w:tc>
        <w:tc>
          <w:tcPr>
            <w:tcW w:w="6917" w:type="dxa"/>
          </w:tcPr>
          <w:p w:rsidR="006B5BF6" w:rsidRDefault="006F460A" w:rsidP="00352ED3">
            <w:pPr>
              <w:pStyle w:val="a8"/>
              <w:ind w:left="0" w:right="-2"/>
              <w:jc w:val="both"/>
            </w:pPr>
            <w:r>
              <w:t>В Людиново 8 школ, из них 3 основных и 5 средних. В 2025</w:t>
            </w:r>
            <w:r w:rsidR="002A0141">
              <w:t>/</w:t>
            </w:r>
            <w:r>
              <w:t xml:space="preserve">2026 учебном году в них обучается 3654 </w:t>
            </w:r>
            <w:r w:rsidR="002A0141">
              <w:t>детей</w:t>
            </w:r>
            <w:r>
              <w:t>, из них 816 во вторую смену. Наибольший процент обучающихся во вторую смену в школе № 2 (39,4%) и средней школе № 3 (34,8%).</w:t>
            </w:r>
          </w:p>
          <w:p w:rsidR="006F460A" w:rsidRDefault="006F460A" w:rsidP="00352ED3">
            <w:pPr>
              <w:pStyle w:val="a8"/>
              <w:ind w:left="0" w:right="-2"/>
              <w:jc w:val="both"/>
            </w:pPr>
            <w:r>
              <w:t xml:space="preserve">Анализ демографической ситуации показывает тенденцию к уменьшению детского населения, что приведет к уменьшению </w:t>
            </w:r>
            <w:r w:rsidR="002A0141">
              <w:t>обучающихся</w:t>
            </w:r>
            <w:r>
              <w:t xml:space="preserve"> в школах города.</w:t>
            </w:r>
          </w:p>
          <w:p w:rsidR="00352ED3" w:rsidRDefault="00352ED3" w:rsidP="00352ED3">
            <w:pPr>
              <w:pStyle w:val="a8"/>
              <w:ind w:left="0" w:right="-2"/>
              <w:jc w:val="both"/>
            </w:pPr>
            <w:r>
              <w:t>2026/2027 учебный год -3429 – вторая смена 762 (22,2%)</w:t>
            </w:r>
          </w:p>
          <w:p w:rsidR="00352ED3" w:rsidRDefault="00352ED3" w:rsidP="00352ED3">
            <w:pPr>
              <w:pStyle w:val="a8"/>
              <w:ind w:left="0" w:right="-2"/>
              <w:jc w:val="both"/>
            </w:pPr>
            <w:r>
              <w:t>2027/2028 учебный год -3330 – вторая смена 556 (16,7%)</w:t>
            </w:r>
          </w:p>
          <w:p w:rsidR="00C536CE" w:rsidRDefault="00C536CE" w:rsidP="00352ED3">
            <w:pPr>
              <w:pStyle w:val="a8"/>
              <w:ind w:left="0" w:right="-2"/>
              <w:jc w:val="both"/>
            </w:pPr>
            <w:r>
              <w:rPr>
                <w:bCs/>
                <w:color w:val="000000"/>
              </w:rPr>
              <w:t>В настоящее время школа № 2 располагается в 2-х зданиях, одно из которых построено в 1913 году (ул. Кропоткина, д. 1), здесь размещаются 1-4 классы, здание не подключено в центральной сети водоотведения, есть две выгребные ямы). Второе здание построено в 1937 году. Школа № 3 построена в 1</w:t>
            </w:r>
            <w:r w:rsidR="00184213">
              <w:rPr>
                <w:bCs/>
                <w:color w:val="000000"/>
              </w:rPr>
              <w:t xml:space="preserve">936 году. Школа № 5 </w:t>
            </w:r>
            <w:r w:rsidR="008D0C4A">
              <w:rPr>
                <w:bCs/>
                <w:color w:val="000000"/>
              </w:rPr>
              <w:t>–</w:t>
            </w:r>
            <w:r w:rsidR="00184213">
              <w:rPr>
                <w:bCs/>
                <w:color w:val="000000"/>
              </w:rPr>
              <w:t xml:space="preserve"> одноэтажное</w:t>
            </w:r>
            <w:r w:rsidR="008D0C4A">
              <w:rPr>
                <w:bCs/>
                <w:color w:val="000000"/>
              </w:rPr>
              <w:t xml:space="preserve"> здание построено</w:t>
            </w:r>
            <w:r w:rsidR="00184213">
              <w:rPr>
                <w:bCs/>
                <w:color w:val="000000"/>
              </w:rPr>
              <w:t xml:space="preserve"> в 1903 года, двухэтажное</w:t>
            </w:r>
            <w:r w:rsidR="008D0C4A">
              <w:rPr>
                <w:bCs/>
                <w:color w:val="000000"/>
              </w:rPr>
              <w:t xml:space="preserve"> -</w:t>
            </w:r>
            <w:bookmarkStart w:id="0" w:name="_GoBack"/>
            <w:bookmarkEnd w:id="0"/>
            <w:r w:rsidR="00184213">
              <w:rPr>
                <w:bCs/>
                <w:color w:val="000000"/>
              </w:rPr>
              <w:t xml:space="preserve"> 1904</w:t>
            </w:r>
            <w:r w:rsidR="008D0C4A">
              <w:rPr>
                <w:bCs/>
                <w:color w:val="000000"/>
              </w:rPr>
              <w:t>.</w:t>
            </w:r>
          </w:p>
          <w:p w:rsidR="002A0141" w:rsidRDefault="002A0141" w:rsidP="00352ED3">
            <w:pPr>
              <w:pStyle w:val="a8"/>
              <w:ind w:left="0" w:right="-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Потребность в новой школе обусловлена изменяющимися требованиями к условиям осуществления образовательной деятельности. Возникает потребность в современных кабинетах труда (технологии). Основы безопасности и защиты Родины, физики, а также наличии современных образовательных пространств, необходимых </w:t>
            </w:r>
            <w:r w:rsidR="00EA5601">
              <w:rPr>
                <w:bCs/>
                <w:color w:val="000000"/>
              </w:rPr>
              <w:t>для организации внеурочной деятельности детских и молодежных общественных объединений, развития физической культуры и спорта.</w:t>
            </w:r>
          </w:p>
          <w:p w:rsidR="00C3706A" w:rsidRPr="0017558C" w:rsidRDefault="00BA386D" w:rsidP="00C536CE">
            <w:pPr>
              <w:pStyle w:val="a8"/>
              <w:ind w:left="0" w:right="-2"/>
              <w:jc w:val="both"/>
              <w:rPr>
                <w:bCs/>
                <w:color w:val="000000"/>
              </w:rPr>
            </w:pPr>
            <w:r w:rsidRPr="00BA386D">
              <w:t>Развитие особой экономической зоны, расположенной на территории муниципалитета, способствует росту трудоспособного населения и увеличению численности детского населения.</w:t>
            </w:r>
          </w:p>
        </w:tc>
      </w:tr>
      <w:tr w:rsidR="006F460A" w:rsidRPr="00C953C5" w:rsidTr="00A02755">
        <w:trPr>
          <w:trHeight w:val="870"/>
        </w:trPr>
        <w:tc>
          <w:tcPr>
            <w:tcW w:w="534" w:type="dxa"/>
          </w:tcPr>
          <w:p w:rsidR="006F460A" w:rsidRDefault="006F460A" w:rsidP="006F4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3" w:type="dxa"/>
          </w:tcPr>
          <w:p w:rsidR="006F460A" w:rsidRPr="00383FB1" w:rsidRDefault="006F460A" w:rsidP="006F46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новую школу около бассейна и пустить автобусы.</w:t>
            </w:r>
          </w:p>
        </w:tc>
        <w:tc>
          <w:tcPr>
            <w:tcW w:w="6917" w:type="dxa"/>
          </w:tcPr>
          <w:p w:rsidR="00C536CE" w:rsidRPr="0017558C" w:rsidRDefault="006F460A" w:rsidP="00C536CE">
            <w:pPr>
              <w:pStyle w:val="a8"/>
              <w:spacing w:line="276" w:lineRule="auto"/>
              <w:ind w:left="0" w:right="-2"/>
              <w:jc w:val="both"/>
              <w:rPr>
                <w:bCs/>
                <w:color w:val="000000"/>
              </w:rPr>
            </w:pPr>
            <w:r w:rsidRPr="0017558C">
              <w:t>На территории</w:t>
            </w:r>
            <w:r>
              <w:t>, прилегающей к бассейну,</w:t>
            </w:r>
            <w:r w:rsidRPr="0017558C">
              <w:t xml:space="preserve"> </w:t>
            </w:r>
            <w:r>
              <w:t>установлены охранные</w:t>
            </w:r>
            <w:r w:rsidRPr="0017558C">
              <w:t xml:space="preserve"> зоны (ЗОУИТ) с реестровыми номерами границ 40:00-6.719, 40:00-6.725, 40:00-6.541, строитель</w:t>
            </w:r>
            <w:r w:rsidR="00C536CE">
              <w:t>ство в охранных зонах запрещено.</w:t>
            </w:r>
          </w:p>
        </w:tc>
      </w:tr>
      <w:tr w:rsidR="006F460A" w:rsidRPr="00C953C5" w:rsidTr="00A02755">
        <w:tc>
          <w:tcPr>
            <w:tcW w:w="534" w:type="dxa"/>
          </w:tcPr>
          <w:p w:rsidR="006F460A" w:rsidRDefault="006F460A" w:rsidP="006F4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6F460A" w:rsidRDefault="006F460A" w:rsidP="006F46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другое место для строительства школы. Например, убрать в центре города больницу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>, перенести морг</w:t>
            </w:r>
          </w:p>
        </w:tc>
        <w:tc>
          <w:tcPr>
            <w:tcW w:w="6917" w:type="dxa"/>
          </w:tcPr>
          <w:p w:rsidR="00C3706A" w:rsidRPr="0017558C" w:rsidRDefault="006F460A" w:rsidP="002C7D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сносе больничного городка по ул. Энгельса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 xml:space="preserve"> и переносе морга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принималось</w:t>
            </w:r>
            <w:r w:rsidR="002A01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11 корпусов в которых функционируют отделения и хозяйственные службы больницы, 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>находятся в региональной собственности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лощадь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5830 </w:t>
            </w:r>
            <w:proofErr w:type="spellStart"/>
            <w:r w:rsidRPr="0017558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5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расположен морг и проходят магистральные сети, имеющие 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ЗОУИТ с реестровыми номерами границ 40:28-6.690, 40:28-6.696, 40:28-6.130.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охранных зонах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сетей и морга, 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>запрещено.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нет оснований рассматривать данную территорию для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школы в ближайшей перспективе.</w:t>
            </w:r>
          </w:p>
        </w:tc>
      </w:tr>
      <w:tr w:rsidR="006F460A" w:rsidRPr="00C953C5" w:rsidTr="00A02755">
        <w:tc>
          <w:tcPr>
            <w:tcW w:w="534" w:type="dxa"/>
          </w:tcPr>
          <w:p w:rsidR="006F460A" w:rsidRDefault="006F460A" w:rsidP="006F4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6F460A" w:rsidRDefault="006F460A" w:rsidP="006F46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другое место для строительства школы, например, выкупить у собственников 10 индивидуальных жилых домов с участками по 15 соток </w:t>
            </w:r>
          </w:p>
        </w:tc>
        <w:tc>
          <w:tcPr>
            <w:tcW w:w="6917" w:type="dxa"/>
          </w:tcPr>
          <w:p w:rsidR="006F460A" w:rsidRDefault="006F460A" w:rsidP="006F4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статье 49 Земельного кодекса РФ, указано, что изъятие земельных участков для государственных или муниципальных нужд осуществ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>ляется в исключительных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связанным с: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выполнением международных договоров Российской Федерации;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строительством, реконструкцией следующих объектов государственного значения (объектов федерального значения, объектов регионального значения) или объектов местного значения при отсутствии других возможных вариантов строительства, реконструкции этих объектов: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федеральных энергетических систем и объекты энергетических систем регионального значения;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использования атомной энергии; 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обороны страны и безопасности государства, в том числе инженерно-технические сооружения, линии связи и коммуникации, возведенные в интересах защиты и охраны Государственной границы Российской Федерации; 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федерального транспорта, объекты связи федерального значения, а также объекты транспорта, объекты связи регионального значения, объекты инфраструктуры железнодорожного транспорта общего пользования;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обеспечивающие космическую деятельность;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объекты федерального и регионального значения, обеспечивающие деятельность субъектов естественных монополий;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систем электро-,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федерального, регионального или местного значения;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федерального, регионального или межмуниципального, местного значения;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иными основаниями, предусмотренными федеральными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06A" w:rsidRDefault="006F460A" w:rsidP="001842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изъятие земельных участков для строительства школы законом не предусмотрено.</w:t>
            </w:r>
          </w:p>
        </w:tc>
      </w:tr>
      <w:tr w:rsidR="006F460A" w:rsidRPr="00C953C5" w:rsidTr="00A02755">
        <w:tc>
          <w:tcPr>
            <w:tcW w:w="534" w:type="dxa"/>
          </w:tcPr>
          <w:p w:rsidR="006F460A" w:rsidRDefault="00EA5601" w:rsidP="006F4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6F460A" w:rsidRDefault="006F460A" w:rsidP="006F46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Снести 2-х этажные дома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Семашко и ул. Энгельса, расселить людей и построить школу.</w:t>
            </w:r>
          </w:p>
        </w:tc>
        <w:tc>
          <w:tcPr>
            <w:tcW w:w="6917" w:type="dxa"/>
          </w:tcPr>
          <w:p w:rsidR="006F460A" w:rsidRDefault="006F460A" w:rsidP="006F4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пункту 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N 47 от 28.01.2006, основанием для признания многоквартирного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аварийным и подлежащим сносу или реконструкции является аварийное техническое состояние его несущих строительных конструкций (конструкции) или многоквартирного дома в целом, характеризующееся их разрушением либо повреждениями и деформациями, свидетельствующими об исчерпании несущей способности и опасности обрушения многоквартирного дома, и (или) кренами, которые могут вызвать потерю устойчивости многоквартирного дома.</w:t>
            </w:r>
          </w:p>
          <w:p w:rsidR="006F460A" w:rsidRDefault="006F460A" w:rsidP="006F4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 по ул. Энгельса и ул. Семашко аварийными не признана</w:t>
            </w:r>
            <w:r w:rsidR="00EA560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подлежат сносу.</w:t>
            </w:r>
          </w:p>
          <w:p w:rsidR="006F460A" w:rsidRDefault="006F460A" w:rsidP="00EA56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этого в квартале улиц Энгельса – Семашко размещен</w:t>
            </w:r>
            <w:r w:rsidR="00EA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601">
              <w:rPr>
                <w:rFonts w:ascii="Times New Roman" w:hAnsi="Times New Roman" w:cs="Times New Roman"/>
                <w:sz w:val="24"/>
                <w:szCs w:val="24"/>
              </w:rPr>
              <w:t>теплопункт</w:t>
            </w:r>
            <w:proofErr w:type="spellEnd"/>
            <w:r w:rsidR="00EA5601">
              <w:rPr>
                <w:rFonts w:ascii="Times New Roman" w:hAnsi="Times New Roman" w:cs="Times New Roman"/>
                <w:sz w:val="24"/>
                <w:szCs w:val="24"/>
              </w:rPr>
              <w:t>, магистральные сети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6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сараев, гаражей с зарегистрированными правами на землю Изъятие земельных участков для муниципальных нужд не предусмотрено. Таким образом, нет оснований для рассмотрения указанной территории для строительства школы. </w:t>
            </w:r>
          </w:p>
        </w:tc>
      </w:tr>
      <w:tr w:rsidR="006F460A" w:rsidRPr="00C953C5" w:rsidTr="00A02755">
        <w:tc>
          <w:tcPr>
            <w:tcW w:w="534" w:type="dxa"/>
          </w:tcPr>
          <w:p w:rsidR="006F460A" w:rsidRDefault="00594A38" w:rsidP="006F4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3" w:type="dxa"/>
          </w:tcPr>
          <w:p w:rsidR="006F460A" w:rsidRDefault="006F460A" w:rsidP="006F46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школу на проспекте Машиностроителей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AF6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Журавка</w:t>
            </w:r>
          </w:p>
        </w:tc>
        <w:tc>
          <w:tcPr>
            <w:tcW w:w="6917" w:type="dxa"/>
          </w:tcPr>
          <w:p w:rsidR="00AF6886" w:rsidRDefault="00AF6886" w:rsidP="00AF68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 xml:space="preserve">аксимально допустимый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пешеходной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общеобразовательных организаций в условиях стеснённой городской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800 м (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 xml:space="preserve"> 11 Местных нормативов градостроительного проектирования муниципального образования городского поселения «Город Людиново»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F6886" w:rsidRDefault="00AF6886" w:rsidP="00AF68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радиусе пешеходной доступности при размещении школы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-ту Машиностроителей находятся </w:t>
            </w:r>
            <w:r w:rsidR="00D56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жилых домов (203 квартиры) и </w:t>
            </w:r>
            <w:r w:rsidR="004651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жилых домов (ИЖС), в которых проживает </w:t>
            </w:r>
            <w:r w:rsidR="00D56CD5">
              <w:rPr>
                <w:rFonts w:ascii="Times New Roman" w:hAnsi="Times New Roman" w:cs="Times New Roman"/>
                <w:sz w:val="24"/>
                <w:szCs w:val="24"/>
              </w:rPr>
              <w:t>107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возраста. </w:t>
            </w:r>
          </w:p>
          <w:p w:rsidR="00465178" w:rsidRDefault="00465178" w:rsidP="004651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F6886">
              <w:rPr>
                <w:rFonts w:ascii="Times New Roman" w:hAnsi="Times New Roman" w:cs="Times New Roman"/>
                <w:sz w:val="24"/>
                <w:szCs w:val="24"/>
              </w:rPr>
              <w:t xml:space="preserve">радиусе пешеходной доступности при размещении школы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Фокина, д. 21 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расположены 37 многоквартирных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1A5136">
              <w:rPr>
                <w:rFonts w:ascii="Times New Roman" w:hAnsi="Times New Roman" w:cs="Times New Roman"/>
                <w:sz w:val="24"/>
                <w:szCs w:val="24"/>
              </w:rPr>
              <w:t xml:space="preserve"> квартиры) и 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ИЖС, в которых проживает </w:t>
            </w:r>
            <w:r w:rsidRPr="00E37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школьного возраста. </w:t>
            </w:r>
          </w:p>
          <w:p w:rsidR="006F460A" w:rsidRDefault="00465178" w:rsidP="00D56C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при размещении школы по ул. Фокина, д. 21 в зоне пешеходной доступности будет находится в </w:t>
            </w:r>
            <w:r w:rsidR="00D56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больше детей</w:t>
            </w:r>
            <w:r w:rsidR="00D56CD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возраста</w:t>
            </w:r>
            <w:r w:rsidR="006F460A" w:rsidRPr="00E37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A38" w:rsidRPr="00C953C5" w:rsidTr="00A02755">
        <w:tc>
          <w:tcPr>
            <w:tcW w:w="534" w:type="dxa"/>
          </w:tcPr>
          <w:p w:rsidR="00594A38" w:rsidRDefault="00A8453B" w:rsidP="00594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594A38" w:rsidRDefault="00594A38" w:rsidP="00594A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Снесены дома на ул. Урицкого, можно там построить школу или на Центральном рынке</w:t>
            </w:r>
          </w:p>
        </w:tc>
        <w:tc>
          <w:tcPr>
            <w:tcW w:w="6917" w:type="dxa"/>
          </w:tcPr>
          <w:p w:rsidR="00594A38" w:rsidRPr="00840D94" w:rsidRDefault="00594A38" w:rsidP="00F3437E">
            <w:pPr>
              <w:pStyle w:val="ConsPlusNonformat"/>
              <w:jc w:val="both"/>
            </w:pP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Предложенные земельные участки не соответствуют требованиям по площади. Согласно таблице Д.1 приложения Д СП 42.13330.2016 «Градостроительство. Планировка и застройка городских и сельских поселений», площадь земельного участка для строительства общеобразовательной организации на 550 учащихся (из расчёта </w:t>
            </w:r>
            <w:r w:rsidR="00840D94">
              <w:rPr>
                <w:rFonts w:ascii="Times New Roman" w:hAnsi="Times New Roman" w:cs="Times New Roman"/>
                <w:sz w:val="24"/>
                <w:szCs w:val="24"/>
              </w:rPr>
              <w:t xml:space="preserve">35 кв. м на одного учащегося), а также 0,7 га для устройства </w:t>
            </w:r>
            <w:r w:rsidR="00840D94" w:rsidRPr="00840D94">
              <w:rPr>
                <w:rFonts w:ascii="Times New Roman" w:hAnsi="Times New Roman" w:cs="Times New Roman"/>
                <w:sz w:val="24"/>
                <w:szCs w:val="24"/>
              </w:rPr>
              <w:t>спортивного ядра с футбольным полем и беговой дорожкой</w:t>
            </w:r>
            <w:r w:rsidR="00840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0D94"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должна составлять не менее </w:t>
            </w:r>
            <w:r w:rsidR="00840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D94" w:rsidRPr="00AB2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0D94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840D94"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840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что не может быть обеспечено на указанных земельных участках.</w:t>
            </w:r>
          </w:p>
          <w:p w:rsidR="00F3437E" w:rsidRDefault="00F3437E" w:rsidP="00F343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по ул. Урицкого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>адастровым номером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40:28:010702:1258 – 1,0164 га;</w:t>
            </w:r>
          </w:p>
          <w:p w:rsidR="00F3437E" w:rsidRDefault="00F3437E" w:rsidP="002C7D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Центрального рынка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>кадастровым номером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40:28:010706:231 – 1,9278 га.</w:t>
            </w:r>
          </w:p>
        </w:tc>
      </w:tr>
      <w:tr w:rsidR="00A36E8B" w:rsidRPr="00C953C5" w:rsidTr="00A02755">
        <w:tc>
          <w:tcPr>
            <w:tcW w:w="534" w:type="dxa"/>
          </w:tcPr>
          <w:p w:rsidR="00A36E8B" w:rsidRDefault="00A8453B" w:rsidP="00A3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школу в здании бывшего филиала Брянского государственног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технического университета </w:t>
            </w:r>
          </w:p>
        </w:tc>
        <w:tc>
          <w:tcPr>
            <w:tcW w:w="6917" w:type="dxa"/>
          </w:tcPr>
          <w:p w:rsidR="00A36E8B" w:rsidRDefault="00A36E8B" w:rsidP="00A138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бывшего филиала Брянского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технического университета и земельный участок с кадастровым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номером 40:28: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>010609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, наход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тся в собственности</w:t>
            </w:r>
            <w:r w:rsidR="00A1388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C03ED5">
              <w:rPr>
                <w:rFonts w:ascii="Times New Roman" w:hAnsi="Times New Roman" w:cs="Times New Roman"/>
                <w:sz w:val="24"/>
                <w:szCs w:val="24"/>
              </w:rPr>
              <w:t xml:space="preserve"> 0,16 га недостаточна для размещения школы.</w:t>
            </w:r>
          </w:p>
        </w:tc>
      </w:tr>
      <w:tr w:rsidR="00A13882" w:rsidRPr="00C953C5" w:rsidTr="00A02755">
        <w:tc>
          <w:tcPr>
            <w:tcW w:w="534" w:type="dxa"/>
          </w:tcPr>
          <w:p w:rsidR="00A13882" w:rsidRDefault="00C3079C" w:rsidP="00A3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A13882" w:rsidRDefault="00C3079C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</w:t>
            </w:r>
            <w:r w:rsidR="00A13882">
              <w:rPr>
                <w:rFonts w:ascii="Times New Roman" w:hAnsi="Times New Roman" w:cs="Times New Roman"/>
                <w:sz w:val="24"/>
                <w:szCs w:val="24"/>
              </w:rPr>
              <w:t>школу на стадионе «Авангард»</w:t>
            </w:r>
          </w:p>
        </w:tc>
        <w:tc>
          <w:tcPr>
            <w:tcW w:w="6917" w:type="dxa"/>
          </w:tcPr>
          <w:p w:rsidR="00A13882" w:rsidRPr="00AB215E" w:rsidRDefault="00C3079C" w:rsidP="00E101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снести школу по ул. Кропоткина </w:t>
            </w:r>
            <w:r w:rsidR="00E101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1913 года постройки</w:t>
            </w:r>
            <w:r w:rsidR="00E101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построить </w:t>
            </w:r>
            <w:r w:rsidR="00E101F7">
              <w:rPr>
                <w:rFonts w:ascii="Times New Roman" w:hAnsi="Times New Roman" w:cs="Times New Roman"/>
                <w:sz w:val="24"/>
                <w:szCs w:val="24"/>
              </w:rPr>
              <w:t xml:space="preserve">новую с частичном размещением на стадионе «Авангард» рассматривалось в 2017-2018 годах и в 2025 году.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 w:rsidR="00E101F7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спортивное сообщество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поддержали данное предложение.</w:t>
            </w:r>
          </w:p>
        </w:tc>
      </w:tr>
      <w:tr w:rsidR="00A36E8B" w:rsidRPr="00C953C5" w:rsidTr="00A02755">
        <w:tc>
          <w:tcPr>
            <w:tcW w:w="534" w:type="dxa"/>
          </w:tcPr>
          <w:p w:rsidR="00A36E8B" w:rsidRDefault="00C3079C" w:rsidP="00A36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реконструкцию старых школ</w:t>
            </w:r>
          </w:p>
        </w:tc>
        <w:tc>
          <w:tcPr>
            <w:tcW w:w="6917" w:type="dxa"/>
          </w:tcPr>
          <w:p w:rsidR="00A36E8B" w:rsidRDefault="00BA386D" w:rsidP="00BA38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386D">
              <w:rPr>
                <w:rFonts w:ascii="Times New Roman" w:hAnsi="Times New Roman" w:cs="Times New Roman"/>
                <w:sz w:val="24"/>
                <w:szCs w:val="24"/>
              </w:rPr>
              <w:t>ногие школьные здания не соответствуют новым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как </w:t>
            </w:r>
            <w:r w:rsidRPr="00BA386D">
              <w:rPr>
                <w:rFonts w:ascii="Times New Roman" w:hAnsi="Times New Roman" w:cs="Times New Roman"/>
                <w:sz w:val="24"/>
                <w:szCs w:val="24"/>
              </w:rPr>
              <w:t>спроектированы и построены в середине прошлого века и даже существенно раньше и не отвечают современным требованиям, предъявляемым к таким объектам.</w:t>
            </w:r>
            <w:r>
              <w:t xml:space="preserve"> </w:t>
            </w:r>
            <w:r w:rsidR="00A36E8B" w:rsidRPr="00AB215E">
              <w:rPr>
                <w:rFonts w:ascii="Times New Roman" w:hAnsi="Times New Roman" w:cs="Times New Roman"/>
                <w:sz w:val="24"/>
                <w:szCs w:val="24"/>
              </w:rPr>
              <w:t>Реконструкция существующих школ не является целесообразным решением, поскольку действующие здания не отвечают современным требованиям к организации учебного процесса. Строительство новой школы позволит в полной мере обеспечить соответствие всем актуальным нормативным требованиям к планировке и оснащению образовательного учреждения.</w:t>
            </w:r>
          </w:p>
        </w:tc>
      </w:tr>
      <w:tr w:rsidR="00A36E8B" w:rsidRPr="00C953C5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A36E8B" w:rsidRDefault="00A36E8B" w:rsidP="002C7D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горкомхоза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D5D">
              <w:rPr>
                <w:rFonts w:ascii="Times New Roman" w:hAnsi="Times New Roman" w:cs="Times New Roman"/>
                <w:sz w:val="24"/>
                <w:szCs w:val="24"/>
              </w:rPr>
              <w:t>грунт загрязнен, ранее склади</w:t>
            </w:r>
            <w:r w:rsidR="001A5136">
              <w:rPr>
                <w:rFonts w:ascii="Times New Roman" w:hAnsi="Times New Roman" w:cs="Times New Roman"/>
                <w:sz w:val="24"/>
                <w:szCs w:val="24"/>
              </w:rPr>
              <w:t>ровали вторичные 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A36E8B" w:rsidRDefault="00A36E8B" w:rsidP="001A51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разработки проекта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является проведение 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инженерно-экологически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изыскания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строительства, в том числе обследования загрязнения грунтов и грунтовых вод. </w:t>
            </w:r>
          </w:p>
        </w:tc>
      </w:tr>
      <w:tr w:rsidR="00A36E8B" w:rsidRPr="00C953C5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 Фокина расположена в ЗОИТ </w:t>
            </w:r>
          </w:p>
        </w:tc>
        <w:tc>
          <w:tcPr>
            <w:tcW w:w="6917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расположен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зоне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Неполодь</w:t>
            </w:r>
            <w:proofErr w:type="spellEnd"/>
          </w:p>
          <w:p w:rsidR="00A36E8B" w:rsidRDefault="00A36E8B" w:rsidP="00A36E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пункту 16 статьи 65 Водного кодекса РФ в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окружающей среды нормативов допустимых сбросов загрязняющих веществ, иных веществ и микроорганизмов. </w:t>
            </w:r>
            <w:r w:rsidRPr="00B760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установке </w:t>
            </w:r>
            <w:proofErr w:type="spellStart"/>
            <w:r w:rsidRPr="00B76049">
              <w:rPr>
                <w:rFonts w:ascii="Times New Roman" w:hAnsi="Times New Roman" w:cs="Times New Roman"/>
                <w:sz w:val="24"/>
                <w:szCs w:val="24"/>
              </w:rPr>
              <w:t>ЛОСов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очистных сооружений)</w:t>
            </w:r>
            <w:r w:rsidRPr="00B76049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предусмотрены.</w:t>
            </w:r>
          </w:p>
        </w:tc>
      </w:tr>
      <w:tr w:rsidR="00A36E8B" w:rsidRPr="00C953C5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случится авария на плотине,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что  будет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школой</w:t>
            </w:r>
          </w:p>
        </w:tc>
        <w:tc>
          <w:tcPr>
            <w:tcW w:w="6917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04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от 21.07.1997 № 117-ФЗ «О безопасности гидротехнических сооружений» и Постановлением Правительства РФ от 03.10.2020 № 1596 был разработан и согласован с Министерством природных ресурсов и экологии Калужской области «Расчет вероятного вреда, который может быть причинен в результате аварии гидротехнических сооружений комплекса </w:t>
            </w:r>
            <w:proofErr w:type="spellStart"/>
            <w:r w:rsidRPr="00B76049">
              <w:rPr>
                <w:rFonts w:ascii="Times New Roman" w:hAnsi="Times New Roman" w:cs="Times New Roman"/>
                <w:sz w:val="24"/>
                <w:szCs w:val="24"/>
              </w:rPr>
              <w:t>Людиновского</w:t>
            </w:r>
            <w:proofErr w:type="spellEnd"/>
            <w:r w:rsidRPr="00B76049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водохранилища» от 20.11.2024. Согласно разделу 9 указанного расчета, вероятность реализации наиболее тяжелого сценария аварии составляет 3,53×10⁻⁵ в год, что соответству</w:t>
            </w:r>
            <w:r w:rsidR="001A5136">
              <w:rPr>
                <w:rFonts w:ascii="Times New Roman" w:hAnsi="Times New Roman" w:cs="Times New Roman"/>
                <w:sz w:val="24"/>
                <w:szCs w:val="24"/>
              </w:rPr>
              <w:t xml:space="preserve">ет допустимому уровню </w:t>
            </w:r>
            <w:r w:rsidRPr="00B76049">
              <w:rPr>
                <w:rFonts w:ascii="Times New Roman" w:hAnsi="Times New Roman" w:cs="Times New Roman"/>
                <w:sz w:val="24"/>
                <w:szCs w:val="24"/>
              </w:rPr>
              <w:t>для ГТС II класса согласно ГОСТ Р 22.2.09-2015.</w:t>
            </w:r>
          </w:p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разработки проекта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обязательными инженерно-гидрометеорологические изыскания,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исследуются основные факторы гидрологического режима водных объектов и возможности проявления опасных гидрометеорологических процессов и явлений.</w:t>
            </w:r>
          </w:p>
          <w:p w:rsidR="00A36E8B" w:rsidRDefault="001A5136" w:rsidP="001A51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проектные решения, выполненные на основании </w:t>
            </w:r>
            <w:r w:rsidR="00C3706A">
              <w:rPr>
                <w:rFonts w:ascii="Times New Roman" w:hAnsi="Times New Roman" w:cs="Times New Roman"/>
                <w:sz w:val="24"/>
                <w:szCs w:val="24"/>
              </w:rPr>
              <w:t>комплексного изучения гидрометеорологических условий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исключат возможность негативного воздействия на объект. </w:t>
            </w:r>
          </w:p>
        </w:tc>
      </w:tr>
      <w:tr w:rsidR="00A36E8B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расположены сети канализации, куда перенесут эти сети.</w:t>
            </w:r>
          </w:p>
        </w:tc>
        <w:tc>
          <w:tcPr>
            <w:tcW w:w="6917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ети канализации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переданы в хозяйственное ведение 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Калугаоблводоканал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Выделены средства на перенос сетей. Работы планируются в 2026 году.</w:t>
            </w:r>
          </w:p>
        </w:tc>
      </w:tr>
      <w:tr w:rsidR="00A36E8B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Отложить вопрос о строительстве школы, актуальнее сейчас строительство больницы.</w:t>
            </w:r>
          </w:p>
        </w:tc>
        <w:tc>
          <w:tcPr>
            <w:tcW w:w="6917" w:type="dxa"/>
          </w:tcPr>
          <w:p w:rsidR="00A36E8B" w:rsidRPr="0017558C" w:rsidRDefault="00A36E8B" w:rsidP="00A138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азрешение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58C">
              <w:rPr>
                <w:rFonts w:ascii="Times New Roman" w:hAnsi="Times New Roman" w:cs="Times New Roman"/>
                <w:sz w:val="24"/>
                <w:szCs w:val="24"/>
              </w:rPr>
              <w:t xml:space="preserve">а строительство больницы выдано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январе 2026 года.</w:t>
            </w:r>
          </w:p>
        </w:tc>
      </w:tr>
      <w:tr w:rsidR="00A36E8B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данной территории проходят зоны подтопления</w:t>
            </w:r>
          </w:p>
        </w:tc>
        <w:tc>
          <w:tcPr>
            <w:tcW w:w="6917" w:type="dxa"/>
          </w:tcPr>
          <w:p w:rsidR="00A36E8B" w:rsidRDefault="00C03ED5" w:rsidP="000A22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сведения</w:t>
            </w:r>
            <w:r w:rsidR="000A22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природных ресурсов Калужской области на территории г. Людиново зоны </w:t>
            </w:r>
            <w:r w:rsidR="000A22C9">
              <w:rPr>
                <w:rFonts w:ascii="Times New Roman" w:hAnsi="Times New Roman" w:cs="Times New Roman"/>
                <w:sz w:val="24"/>
                <w:szCs w:val="24"/>
              </w:rPr>
              <w:t xml:space="preserve">затопления,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подтопления </w:t>
            </w:r>
            <w:r w:rsidR="000A22C9">
              <w:rPr>
                <w:rFonts w:ascii="Times New Roman" w:hAnsi="Times New Roman" w:cs="Times New Roman"/>
                <w:sz w:val="24"/>
                <w:szCs w:val="24"/>
              </w:rPr>
              <w:t xml:space="preserve">реки </w:t>
            </w:r>
            <w:proofErr w:type="spellStart"/>
            <w:r w:rsidR="000A22C9">
              <w:rPr>
                <w:rFonts w:ascii="Times New Roman" w:hAnsi="Times New Roman" w:cs="Times New Roman"/>
                <w:sz w:val="24"/>
                <w:szCs w:val="24"/>
              </w:rPr>
              <w:t>Неполодь</w:t>
            </w:r>
            <w:proofErr w:type="spellEnd"/>
            <w:r w:rsidR="000A22C9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устанавливались. </w:t>
            </w:r>
          </w:p>
        </w:tc>
      </w:tr>
      <w:tr w:rsidR="00A36E8B" w:rsidTr="00A02755">
        <w:tc>
          <w:tcPr>
            <w:tcW w:w="534" w:type="dxa"/>
          </w:tcPr>
          <w:p w:rsidR="00A36E8B" w:rsidRDefault="00A8453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A36E8B" w:rsidRDefault="00A13882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рассматривалась возможность размещения школы по ул. Фокина, д. 21.</w:t>
            </w:r>
          </w:p>
        </w:tc>
        <w:tc>
          <w:tcPr>
            <w:tcW w:w="6917" w:type="dxa"/>
          </w:tcPr>
          <w:p w:rsidR="00A36E8B" w:rsidRDefault="00C53561" w:rsidP="00846C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ООО «Технология» г. Брянск СРО-П-174-0110212 выполнен</w:t>
            </w:r>
            <w:r w:rsidR="00846C70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="00846C70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="00846C70">
              <w:rPr>
                <w:rFonts w:ascii="Times New Roman" w:hAnsi="Times New Roman" w:cs="Times New Roman"/>
                <w:sz w:val="24"/>
                <w:szCs w:val="24"/>
              </w:rPr>
              <w:t xml:space="preserve">–геодезические изыскания на земельном участка с к.н. </w:t>
            </w:r>
            <w:r w:rsidR="00846C70" w:rsidRPr="00C53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40:28:010610:437</w:t>
            </w:r>
            <w:r w:rsidR="00846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площадью 2,5483 га </w:t>
            </w:r>
            <w:r w:rsidR="00846C70" w:rsidRPr="00C5356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46C70">
              <w:rPr>
                <w:rFonts w:ascii="Times New Roman" w:hAnsi="Times New Roman" w:cs="Times New Roman"/>
                <w:sz w:val="24"/>
                <w:szCs w:val="24"/>
              </w:rPr>
              <w:t xml:space="preserve">ул. Фокина, д. 21 и прилегающей территории. Запрошены технические условия на присоединение к инженерным сетям. Проведены совещания с владельцами сетей. ООО «ИСЕТ ГРУПП» выполнено обследование строительных конструкций объектов капитального строительства МАУ «АМГ», расположенных по ул. Фокина, д. 21. На основании собранных данных выполнена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предпроектная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 размещения школы на 550 мест на земельном участка </w:t>
            </w:r>
            <w:r w:rsidRPr="00C5356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Фокина, д. 21. </w:t>
            </w:r>
            <w:r w:rsidR="00BA3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E8B" w:rsidTr="00A02755">
        <w:tc>
          <w:tcPr>
            <w:tcW w:w="534" w:type="dxa"/>
          </w:tcPr>
          <w:p w:rsidR="00A36E8B" w:rsidRDefault="00A36E8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публичные слушания позже</w:t>
            </w:r>
          </w:p>
        </w:tc>
        <w:tc>
          <w:tcPr>
            <w:tcW w:w="6917" w:type="dxa"/>
          </w:tcPr>
          <w:p w:rsidR="00846C70" w:rsidRDefault="00A36E8B" w:rsidP="00C30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 по внесению изменений в Генеральный план регламентировано Градостроительным кодексом Российской Федерации. </w:t>
            </w:r>
            <w:r w:rsidR="00A8453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с момента оповещения жителей муниципального образования об их проведении до дня опубликования заключения о результатах публичных слушаний не может превышать один месяц</w:t>
            </w: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, в связи с чем назначение повторных публичных слушаний в установленные сроки не представляется возможным.</w:t>
            </w:r>
          </w:p>
          <w:p w:rsidR="00184213" w:rsidRDefault="00184213" w:rsidP="00C30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213" w:rsidRDefault="00184213" w:rsidP="00C30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8B" w:rsidTr="00A02755">
        <w:tc>
          <w:tcPr>
            <w:tcW w:w="534" w:type="dxa"/>
          </w:tcPr>
          <w:p w:rsidR="00A36E8B" w:rsidRDefault="00A36E8B" w:rsidP="00C3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A36E8B" w:rsidRDefault="00A36E8B" w:rsidP="00A36E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какой целью Вы собираетесь строить новую школу</w:t>
            </w:r>
          </w:p>
        </w:tc>
        <w:tc>
          <w:tcPr>
            <w:tcW w:w="6917" w:type="dxa"/>
          </w:tcPr>
          <w:p w:rsidR="00A8453B" w:rsidRPr="00A8453B" w:rsidRDefault="00A8453B" w:rsidP="00A8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требуется, в том числе, совершенствование условий и организации обучения в общеобразовательных организациях. Эта потребность диктуется санитарно-эпидемиологическими </w:t>
            </w:r>
            <w:r w:rsidRPr="00A8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требованиями, строительными и противопожарными нормами, федеральными государственными образовательными стандартами общего образования.</w:t>
            </w:r>
            <w:r w:rsidRPr="00A8453B">
              <w:rPr>
                <w:rFonts w:ascii="Times New Roman" w:hAnsi="Times New Roman" w:cs="Times New Roman"/>
                <w:sz w:val="24"/>
                <w:szCs w:val="24"/>
              </w:rPr>
              <w:br/>
              <w:t>Для повышения доступности и качества общего образования должны быть обеспечены возможность организации всех видов учебной деятельности в одну смену, безопасность и комфортность условий их осуществления.</w:t>
            </w:r>
          </w:p>
          <w:p w:rsidR="00A8453B" w:rsidRDefault="00A8453B" w:rsidP="00A84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15E">
              <w:rPr>
                <w:rFonts w:ascii="Times New Roman" w:hAnsi="Times New Roman" w:cs="Times New Roman"/>
                <w:sz w:val="24"/>
                <w:szCs w:val="24"/>
              </w:rPr>
              <w:t>Строительство новой школы направлено на обеспечение возможности обучения детей в современном образовательном учреждении, отвечающем всем актуальным требованиям. Наряду со строительством здания предусмотрено оснащение школы современным учебным оборудованием.</w:t>
            </w:r>
          </w:p>
        </w:tc>
      </w:tr>
    </w:tbl>
    <w:p w:rsidR="00821033" w:rsidRPr="001E4C76" w:rsidRDefault="00821033" w:rsidP="00821033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lastRenderedPageBreak/>
        <w:t>2) от иных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76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и замечания </w:t>
      </w:r>
      <w:r w:rsidRPr="001E4C76">
        <w:rPr>
          <w:rFonts w:ascii="Times New Roman" w:hAnsi="Times New Roman" w:cs="Times New Roman"/>
          <w:sz w:val="24"/>
          <w:szCs w:val="24"/>
        </w:rPr>
        <w:t>поступали следующие</w:t>
      </w:r>
      <w:r w:rsidRPr="00C953C5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53C5">
        <w:rPr>
          <w:rFonts w:ascii="Times New Roman" w:hAnsi="Times New Roman" w:cs="Times New Roman"/>
          <w:sz w:val="24"/>
          <w:szCs w:val="24"/>
        </w:rPr>
        <w:t xml:space="preserve"> или замечани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7D3E2F" w:rsidRDefault="007D3E2F" w:rsidP="00315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72" w:rsidRDefault="00B85124" w:rsidP="0063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A72" w:rsidRPr="00C953C5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="006301FB">
        <w:rPr>
          <w:rFonts w:ascii="Times New Roman" w:hAnsi="Times New Roman" w:cs="Times New Roman"/>
          <w:sz w:val="24"/>
          <w:szCs w:val="24"/>
        </w:rPr>
        <w:t>:</w:t>
      </w:r>
    </w:p>
    <w:p w:rsidR="006077B5" w:rsidRDefault="006077B5" w:rsidP="006077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публичные слушания по проекту внесения изменений в </w:t>
      </w:r>
      <w:r w:rsidR="00C0614C" w:rsidRPr="00C0614C">
        <w:rPr>
          <w:rFonts w:ascii="Times New Roman" w:hAnsi="Times New Roman" w:cs="Times New Roman"/>
          <w:sz w:val="24"/>
          <w:szCs w:val="24"/>
        </w:rPr>
        <w:t>Генеральный план муниципального образования «Людиновский муниципальный округ Калужской области» применительно к населенным пунктам город Людиново и деревня Колотовка</w:t>
      </w:r>
      <w:r w:rsidR="00C0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состоявшимися и проведенными в соответствии с действующим законодательством</w:t>
      </w:r>
      <w:r w:rsidR="006301FB">
        <w:rPr>
          <w:rFonts w:ascii="Times New Roman" w:hAnsi="Times New Roman" w:cs="Times New Roman"/>
          <w:sz w:val="24"/>
          <w:szCs w:val="24"/>
        </w:rPr>
        <w:t>;</w:t>
      </w:r>
    </w:p>
    <w:p w:rsidR="006077B5" w:rsidRDefault="006077B5" w:rsidP="006077B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заключение о результатах публичных слушаний по проекту внесения изменений в </w:t>
      </w:r>
      <w:r w:rsidR="00C0614C" w:rsidRPr="00C0614C">
        <w:rPr>
          <w:rFonts w:ascii="Times New Roman" w:hAnsi="Times New Roman" w:cs="Times New Roman"/>
          <w:sz w:val="24"/>
          <w:szCs w:val="24"/>
        </w:rPr>
        <w:t>Генеральный план муниципального образования «Людиновский муниципальный округ Калужской области» применительно к населенным пунктам город Людиново и деревня Колотовка</w:t>
      </w:r>
      <w:r w:rsidR="00AB1D73"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 w:rsidR="00AB1D73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AB1D73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решения о согласии</w:t>
      </w:r>
      <w:r w:rsidR="00084784">
        <w:rPr>
          <w:rFonts w:ascii="Times New Roman" w:hAnsi="Times New Roman" w:cs="Times New Roman"/>
          <w:sz w:val="24"/>
          <w:szCs w:val="24"/>
        </w:rPr>
        <w:t>/не согласии с проектом Г</w:t>
      </w:r>
      <w:r>
        <w:rPr>
          <w:rFonts w:ascii="Times New Roman" w:hAnsi="Times New Roman" w:cs="Times New Roman"/>
          <w:sz w:val="24"/>
          <w:szCs w:val="24"/>
        </w:rPr>
        <w:t>енера</w:t>
      </w:r>
      <w:r w:rsidR="00AB1D73">
        <w:rPr>
          <w:rFonts w:ascii="Times New Roman" w:hAnsi="Times New Roman" w:cs="Times New Roman"/>
          <w:sz w:val="24"/>
          <w:szCs w:val="24"/>
        </w:rPr>
        <w:t>льного плана и направлении его на</w:t>
      </w:r>
      <w:r w:rsidR="00CC3209">
        <w:rPr>
          <w:rFonts w:ascii="Times New Roman" w:hAnsi="Times New Roman" w:cs="Times New Roman"/>
          <w:sz w:val="24"/>
          <w:szCs w:val="24"/>
        </w:rPr>
        <w:t xml:space="preserve"> </w:t>
      </w:r>
      <w:r w:rsidR="00AB1D73">
        <w:rPr>
          <w:rFonts w:ascii="Times New Roman" w:hAnsi="Times New Roman" w:cs="Times New Roman"/>
          <w:sz w:val="24"/>
          <w:szCs w:val="24"/>
        </w:rPr>
        <w:t>Думу</w:t>
      </w:r>
      <w:r w:rsidR="00AB1D73" w:rsidRPr="00AB1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D73" w:rsidRPr="00AB1D73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AB1D73" w:rsidRPr="00AB1D73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утвержд</w:t>
      </w:r>
      <w:r w:rsidR="00084784">
        <w:rPr>
          <w:rFonts w:ascii="Times New Roman" w:hAnsi="Times New Roman" w:cs="Times New Roman"/>
          <w:sz w:val="24"/>
          <w:szCs w:val="24"/>
        </w:rPr>
        <w:t>ения или об отклонения проекта Г</w:t>
      </w:r>
      <w:r>
        <w:rPr>
          <w:rFonts w:ascii="Times New Roman" w:hAnsi="Times New Roman" w:cs="Times New Roman"/>
          <w:sz w:val="24"/>
          <w:szCs w:val="24"/>
        </w:rPr>
        <w:t>енерального плана и о направлении его на доработку.</w:t>
      </w:r>
    </w:p>
    <w:p w:rsidR="00FF00E7" w:rsidRDefault="00FF00E7" w:rsidP="00192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0E7" w:rsidRPr="00C953C5" w:rsidRDefault="00FF00E7" w:rsidP="00192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2A4D" w:rsidRDefault="00E42A4D" w:rsidP="00B24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2F97" w:rsidRDefault="00E42A4D" w:rsidP="00B24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CC32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B1D73">
        <w:rPr>
          <w:rFonts w:ascii="Times New Roman" w:hAnsi="Times New Roman" w:cs="Times New Roman"/>
          <w:sz w:val="24"/>
          <w:szCs w:val="24"/>
        </w:rPr>
        <w:t>В.Е. Потапов</w:t>
      </w:r>
    </w:p>
    <w:sectPr w:rsidR="004B2F97" w:rsidSect="00084784">
      <w:pgSz w:w="11906" w:h="16838"/>
      <w:pgMar w:top="851" w:right="849" w:bottom="156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D2B"/>
    <w:multiLevelType w:val="hybridMultilevel"/>
    <w:tmpl w:val="A3F805CE"/>
    <w:lvl w:ilvl="0" w:tplc="C882BC42">
      <w:start w:val="1"/>
      <w:numFmt w:val="decimal"/>
      <w:lvlText w:val="%1."/>
      <w:lvlJc w:val="left"/>
      <w:pPr>
        <w:ind w:left="51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01" w:hanging="360"/>
      </w:pPr>
    </w:lvl>
    <w:lvl w:ilvl="2" w:tplc="0419001B" w:tentative="1">
      <w:start w:val="1"/>
      <w:numFmt w:val="lowerRoman"/>
      <w:lvlText w:val="%3."/>
      <w:lvlJc w:val="right"/>
      <w:pPr>
        <w:ind w:left="6621" w:hanging="180"/>
      </w:pPr>
    </w:lvl>
    <w:lvl w:ilvl="3" w:tplc="0419000F" w:tentative="1">
      <w:start w:val="1"/>
      <w:numFmt w:val="decimal"/>
      <w:lvlText w:val="%4."/>
      <w:lvlJc w:val="left"/>
      <w:pPr>
        <w:ind w:left="7341" w:hanging="360"/>
      </w:pPr>
    </w:lvl>
    <w:lvl w:ilvl="4" w:tplc="04190019" w:tentative="1">
      <w:start w:val="1"/>
      <w:numFmt w:val="lowerLetter"/>
      <w:lvlText w:val="%5."/>
      <w:lvlJc w:val="left"/>
      <w:pPr>
        <w:ind w:left="8061" w:hanging="360"/>
      </w:pPr>
    </w:lvl>
    <w:lvl w:ilvl="5" w:tplc="0419001B" w:tentative="1">
      <w:start w:val="1"/>
      <w:numFmt w:val="lowerRoman"/>
      <w:lvlText w:val="%6."/>
      <w:lvlJc w:val="right"/>
      <w:pPr>
        <w:ind w:left="8781" w:hanging="180"/>
      </w:pPr>
    </w:lvl>
    <w:lvl w:ilvl="6" w:tplc="0419000F" w:tentative="1">
      <w:start w:val="1"/>
      <w:numFmt w:val="decimal"/>
      <w:lvlText w:val="%7."/>
      <w:lvlJc w:val="left"/>
      <w:pPr>
        <w:ind w:left="9501" w:hanging="360"/>
      </w:pPr>
    </w:lvl>
    <w:lvl w:ilvl="7" w:tplc="04190019" w:tentative="1">
      <w:start w:val="1"/>
      <w:numFmt w:val="lowerLetter"/>
      <w:lvlText w:val="%8."/>
      <w:lvlJc w:val="left"/>
      <w:pPr>
        <w:ind w:left="10221" w:hanging="360"/>
      </w:pPr>
    </w:lvl>
    <w:lvl w:ilvl="8" w:tplc="0419001B" w:tentative="1">
      <w:start w:val="1"/>
      <w:numFmt w:val="lowerRoman"/>
      <w:lvlText w:val="%9."/>
      <w:lvlJc w:val="right"/>
      <w:pPr>
        <w:ind w:left="10941" w:hanging="180"/>
      </w:pPr>
    </w:lvl>
  </w:abstractNum>
  <w:abstractNum w:abstractNumId="1" w15:restartNumberingAfterBreak="0">
    <w:nsid w:val="2803453C"/>
    <w:multiLevelType w:val="hybridMultilevel"/>
    <w:tmpl w:val="5804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A37E2"/>
    <w:multiLevelType w:val="hybridMultilevel"/>
    <w:tmpl w:val="7DD83BCE"/>
    <w:lvl w:ilvl="0" w:tplc="6CF6B6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72"/>
    <w:rsid w:val="000004D4"/>
    <w:rsid w:val="000109F3"/>
    <w:rsid w:val="0003045B"/>
    <w:rsid w:val="000340E4"/>
    <w:rsid w:val="000375A4"/>
    <w:rsid w:val="000509AC"/>
    <w:rsid w:val="0007390B"/>
    <w:rsid w:val="0007763A"/>
    <w:rsid w:val="000801E6"/>
    <w:rsid w:val="00084784"/>
    <w:rsid w:val="000A22C9"/>
    <w:rsid w:val="000B3738"/>
    <w:rsid w:val="00110775"/>
    <w:rsid w:val="00112C23"/>
    <w:rsid w:val="00124054"/>
    <w:rsid w:val="00124B55"/>
    <w:rsid w:val="00126D13"/>
    <w:rsid w:val="00147608"/>
    <w:rsid w:val="00151026"/>
    <w:rsid w:val="00173A02"/>
    <w:rsid w:val="0017558C"/>
    <w:rsid w:val="00183480"/>
    <w:rsid w:val="00184213"/>
    <w:rsid w:val="001925E3"/>
    <w:rsid w:val="001A5136"/>
    <w:rsid w:val="001D0461"/>
    <w:rsid w:val="001D0532"/>
    <w:rsid w:val="001E4C76"/>
    <w:rsid w:val="001F20B4"/>
    <w:rsid w:val="001F6F3C"/>
    <w:rsid w:val="002327DF"/>
    <w:rsid w:val="002528A6"/>
    <w:rsid w:val="00295084"/>
    <w:rsid w:val="00295633"/>
    <w:rsid w:val="002A0141"/>
    <w:rsid w:val="002A340A"/>
    <w:rsid w:val="002B3B1D"/>
    <w:rsid w:val="002C151A"/>
    <w:rsid w:val="002C7D5D"/>
    <w:rsid w:val="002F17DD"/>
    <w:rsid w:val="00302C2B"/>
    <w:rsid w:val="00315AD8"/>
    <w:rsid w:val="003210A0"/>
    <w:rsid w:val="00326044"/>
    <w:rsid w:val="003279D4"/>
    <w:rsid w:val="00336FD2"/>
    <w:rsid w:val="00346E4A"/>
    <w:rsid w:val="0034721D"/>
    <w:rsid w:val="00352ED3"/>
    <w:rsid w:val="00366969"/>
    <w:rsid w:val="00383FB1"/>
    <w:rsid w:val="00385552"/>
    <w:rsid w:val="00391188"/>
    <w:rsid w:val="00394552"/>
    <w:rsid w:val="003A3C64"/>
    <w:rsid w:val="003C599A"/>
    <w:rsid w:val="003D4069"/>
    <w:rsid w:val="003F6E88"/>
    <w:rsid w:val="00403B0B"/>
    <w:rsid w:val="00443345"/>
    <w:rsid w:val="004463D9"/>
    <w:rsid w:val="0045530E"/>
    <w:rsid w:val="00456237"/>
    <w:rsid w:val="00463CBE"/>
    <w:rsid w:val="004650BE"/>
    <w:rsid w:val="00465178"/>
    <w:rsid w:val="004A42A8"/>
    <w:rsid w:val="004B2F97"/>
    <w:rsid w:val="004C5A72"/>
    <w:rsid w:val="004D0C52"/>
    <w:rsid w:val="004D7C6A"/>
    <w:rsid w:val="004F23EE"/>
    <w:rsid w:val="004F64CB"/>
    <w:rsid w:val="0050572A"/>
    <w:rsid w:val="005177A2"/>
    <w:rsid w:val="0052312D"/>
    <w:rsid w:val="00555A0A"/>
    <w:rsid w:val="00594A38"/>
    <w:rsid w:val="005B19CC"/>
    <w:rsid w:val="005B69F8"/>
    <w:rsid w:val="005B6D03"/>
    <w:rsid w:val="005B7A7F"/>
    <w:rsid w:val="005B7C13"/>
    <w:rsid w:val="005C4A0F"/>
    <w:rsid w:val="005F1914"/>
    <w:rsid w:val="006042E0"/>
    <w:rsid w:val="006077B5"/>
    <w:rsid w:val="0061378E"/>
    <w:rsid w:val="006301FB"/>
    <w:rsid w:val="0063146C"/>
    <w:rsid w:val="0064000B"/>
    <w:rsid w:val="00647A20"/>
    <w:rsid w:val="00654B54"/>
    <w:rsid w:val="006711CA"/>
    <w:rsid w:val="00676DEB"/>
    <w:rsid w:val="006A5FA9"/>
    <w:rsid w:val="006B5BF6"/>
    <w:rsid w:val="006D25BA"/>
    <w:rsid w:val="006D5DEC"/>
    <w:rsid w:val="006E6DC7"/>
    <w:rsid w:val="006E79D6"/>
    <w:rsid w:val="006F460A"/>
    <w:rsid w:val="007002D9"/>
    <w:rsid w:val="0071408A"/>
    <w:rsid w:val="007162F9"/>
    <w:rsid w:val="00726465"/>
    <w:rsid w:val="0073314E"/>
    <w:rsid w:val="00734A1B"/>
    <w:rsid w:val="007407BC"/>
    <w:rsid w:val="0075789D"/>
    <w:rsid w:val="0076766B"/>
    <w:rsid w:val="0077210B"/>
    <w:rsid w:val="007A66B8"/>
    <w:rsid w:val="007B5FB3"/>
    <w:rsid w:val="007C25C9"/>
    <w:rsid w:val="007C3A66"/>
    <w:rsid w:val="007C71C4"/>
    <w:rsid w:val="007D3E2F"/>
    <w:rsid w:val="007E07D9"/>
    <w:rsid w:val="007E7300"/>
    <w:rsid w:val="0080614A"/>
    <w:rsid w:val="00821033"/>
    <w:rsid w:val="00840C4F"/>
    <w:rsid w:val="00840D94"/>
    <w:rsid w:val="00846C70"/>
    <w:rsid w:val="008773A6"/>
    <w:rsid w:val="00877D8F"/>
    <w:rsid w:val="008840A7"/>
    <w:rsid w:val="00884F25"/>
    <w:rsid w:val="0088622C"/>
    <w:rsid w:val="00895850"/>
    <w:rsid w:val="008C1703"/>
    <w:rsid w:val="008D0C4A"/>
    <w:rsid w:val="008D2805"/>
    <w:rsid w:val="008E5213"/>
    <w:rsid w:val="009364D0"/>
    <w:rsid w:val="00950867"/>
    <w:rsid w:val="009645B9"/>
    <w:rsid w:val="00972A5D"/>
    <w:rsid w:val="0098125D"/>
    <w:rsid w:val="00983F09"/>
    <w:rsid w:val="00984CB5"/>
    <w:rsid w:val="009B26B2"/>
    <w:rsid w:val="009C3602"/>
    <w:rsid w:val="009C60AB"/>
    <w:rsid w:val="009F1468"/>
    <w:rsid w:val="00A021E5"/>
    <w:rsid w:val="00A02755"/>
    <w:rsid w:val="00A02BE7"/>
    <w:rsid w:val="00A07A75"/>
    <w:rsid w:val="00A13882"/>
    <w:rsid w:val="00A22004"/>
    <w:rsid w:val="00A27592"/>
    <w:rsid w:val="00A341B1"/>
    <w:rsid w:val="00A36E8B"/>
    <w:rsid w:val="00A538A1"/>
    <w:rsid w:val="00A756DB"/>
    <w:rsid w:val="00A80AA1"/>
    <w:rsid w:val="00A8453B"/>
    <w:rsid w:val="00A84A9C"/>
    <w:rsid w:val="00AA5B87"/>
    <w:rsid w:val="00AB178A"/>
    <w:rsid w:val="00AB1D73"/>
    <w:rsid w:val="00AB215E"/>
    <w:rsid w:val="00AB2A6A"/>
    <w:rsid w:val="00AF6886"/>
    <w:rsid w:val="00B054D0"/>
    <w:rsid w:val="00B143F7"/>
    <w:rsid w:val="00B24F1C"/>
    <w:rsid w:val="00B64224"/>
    <w:rsid w:val="00B76049"/>
    <w:rsid w:val="00B840D3"/>
    <w:rsid w:val="00B85124"/>
    <w:rsid w:val="00B97AEE"/>
    <w:rsid w:val="00BA386D"/>
    <w:rsid w:val="00BB16D1"/>
    <w:rsid w:val="00BD09E9"/>
    <w:rsid w:val="00BD789C"/>
    <w:rsid w:val="00C03950"/>
    <w:rsid w:val="00C03ED5"/>
    <w:rsid w:val="00C0614C"/>
    <w:rsid w:val="00C20C3A"/>
    <w:rsid w:val="00C22896"/>
    <w:rsid w:val="00C2539C"/>
    <w:rsid w:val="00C256D4"/>
    <w:rsid w:val="00C3079C"/>
    <w:rsid w:val="00C36D78"/>
    <w:rsid w:val="00C3706A"/>
    <w:rsid w:val="00C53561"/>
    <w:rsid w:val="00C536CE"/>
    <w:rsid w:val="00C607DA"/>
    <w:rsid w:val="00C71880"/>
    <w:rsid w:val="00C87656"/>
    <w:rsid w:val="00C953C5"/>
    <w:rsid w:val="00CC3209"/>
    <w:rsid w:val="00CC68F5"/>
    <w:rsid w:val="00CD32FE"/>
    <w:rsid w:val="00CF084A"/>
    <w:rsid w:val="00D56CD5"/>
    <w:rsid w:val="00D63E96"/>
    <w:rsid w:val="00D76D4D"/>
    <w:rsid w:val="00D81954"/>
    <w:rsid w:val="00DA3621"/>
    <w:rsid w:val="00DD7566"/>
    <w:rsid w:val="00DE4DF8"/>
    <w:rsid w:val="00E02A66"/>
    <w:rsid w:val="00E101F7"/>
    <w:rsid w:val="00E170FE"/>
    <w:rsid w:val="00E3739D"/>
    <w:rsid w:val="00E42A4D"/>
    <w:rsid w:val="00E95A62"/>
    <w:rsid w:val="00E974F6"/>
    <w:rsid w:val="00EA5601"/>
    <w:rsid w:val="00F31E60"/>
    <w:rsid w:val="00F3437E"/>
    <w:rsid w:val="00F406C1"/>
    <w:rsid w:val="00F75A92"/>
    <w:rsid w:val="00F86376"/>
    <w:rsid w:val="00FA52AD"/>
    <w:rsid w:val="00FA76AA"/>
    <w:rsid w:val="00FB0B58"/>
    <w:rsid w:val="00FE0522"/>
    <w:rsid w:val="00FF00E7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F51D0-5A3A-4F31-B2A1-DB8388B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3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9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E3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7162F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6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Обычный текст"/>
    <w:basedOn w:val="a"/>
    <w:uiPriority w:val="99"/>
    <w:rsid w:val="007162F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zh-CN" w:bidi="en-US"/>
    </w:rPr>
  </w:style>
  <w:style w:type="character" w:styleId="a7">
    <w:name w:val="Emphasis"/>
    <w:aliases w:val="I.I.1"/>
    <w:qFormat/>
    <w:rsid w:val="00383FB1"/>
    <w:rPr>
      <w:i/>
      <w:iCs/>
    </w:rPr>
  </w:style>
  <w:style w:type="paragraph" w:styleId="a8">
    <w:name w:val="List Paragraph"/>
    <w:basedOn w:val="a"/>
    <w:uiPriority w:val="34"/>
    <w:qFormat/>
    <w:rsid w:val="006E6D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7&amp;dst=61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9041&amp;dst=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565&amp;dst=44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0558D-7119-4962-B038-8C9B9B67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2026-03-11T13:27:00Z</cp:lastPrinted>
  <dcterms:created xsi:type="dcterms:W3CDTF">2026-03-05T12:46:00Z</dcterms:created>
  <dcterms:modified xsi:type="dcterms:W3CDTF">2026-03-11T13:36:00Z</dcterms:modified>
</cp:coreProperties>
</file>