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BD" w:rsidRPr="00C87AE3" w:rsidRDefault="008D53BD" w:rsidP="008D53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AE3">
        <w:rPr>
          <w:rFonts w:ascii="Times New Roman" w:hAnsi="Times New Roman" w:cs="Times New Roman"/>
          <w:b/>
          <w:sz w:val="32"/>
          <w:szCs w:val="32"/>
        </w:rPr>
        <w:t>СЕЛЬСКАЯ   ДУМА</w:t>
      </w:r>
    </w:p>
    <w:p w:rsidR="008D53BD" w:rsidRPr="00C87AE3" w:rsidRDefault="008D53BD" w:rsidP="008D5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Pr="00C87AE3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C87AE3">
        <w:rPr>
          <w:rFonts w:ascii="Times New Roman" w:hAnsi="Times New Roman" w:cs="Times New Roman"/>
          <w:b/>
          <w:sz w:val="28"/>
          <w:szCs w:val="28"/>
        </w:rPr>
        <w:t>»</w:t>
      </w:r>
    </w:p>
    <w:p w:rsidR="008D53BD" w:rsidRPr="00C87AE3" w:rsidRDefault="008D53BD" w:rsidP="008D5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3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8D53BD" w:rsidRPr="00C87AE3" w:rsidRDefault="008D53BD" w:rsidP="008D5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3BD" w:rsidRPr="00C87AE3" w:rsidRDefault="008D53BD" w:rsidP="008D53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AE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D53BD" w:rsidRPr="00C87AE3" w:rsidRDefault="008D53BD" w:rsidP="008D53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53BD" w:rsidRDefault="008D53BD" w:rsidP="008D53B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20.11.</w:t>
      </w:r>
      <w:r w:rsidRPr="00C87AE3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C87AE3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87AE3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№ 32</w:t>
      </w:r>
    </w:p>
    <w:p w:rsidR="008D53BD" w:rsidRDefault="008D53BD" w:rsidP="008D53B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34E2D" w:rsidRPr="00C87AE3" w:rsidRDefault="00C34E2D" w:rsidP="008D53B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87E0F" w:rsidRDefault="00387E0F" w:rsidP="00C34E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«Об установлении системы оплаты труда</w:t>
      </w:r>
      <w:r w:rsidR="00C3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работников, замещающих должности, не отнесенные к должностям</w:t>
      </w:r>
      <w:r w:rsidR="00C3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службы,  и  осуществляющих техническое</w:t>
      </w:r>
      <w:r w:rsidR="00C3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сельского поселения «</w:t>
      </w:r>
      <w:r w:rsidR="00C34E2D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», и младшего обслуживающего персонала»</w:t>
      </w:r>
    </w:p>
    <w:p w:rsidR="00387E0F" w:rsidRDefault="00387E0F" w:rsidP="00387E0F">
      <w:pPr>
        <w:spacing w:after="0"/>
        <w:rPr>
          <w:rFonts w:ascii="Times New Roman" w:hAnsi="Times New Roman" w:cs="Times New Roman"/>
          <w:b/>
        </w:rPr>
      </w:pPr>
    </w:p>
    <w:p w:rsidR="00387E0F" w:rsidRDefault="00387E0F" w:rsidP="00387E0F">
      <w:pPr>
        <w:spacing w:after="0"/>
        <w:rPr>
          <w:rFonts w:ascii="Times New Roman" w:hAnsi="Times New Roman" w:cs="Times New Roman"/>
          <w:b/>
        </w:rPr>
      </w:pP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733B5D">
          <w:rPr>
            <w:rStyle w:val="a3"/>
            <w:rFonts w:ascii="Times New Roman" w:hAnsi="Times New Roman" w:cs="Times New Roman"/>
            <w:sz w:val="24"/>
            <w:szCs w:val="24"/>
          </w:rPr>
          <w:t>ст. 135</w:t>
        </w:r>
      </w:hyperlink>
      <w:r w:rsidRPr="00733B5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733B5D">
          <w:rPr>
            <w:rStyle w:val="a3"/>
            <w:rFonts w:ascii="Times New Roman" w:hAnsi="Times New Roman" w:cs="Times New Roman"/>
            <w:sz w:val="24"/>
            <w:szCs w:val="24"/>
          </w:rPr>
          <w:t>144</w:t>
        </w:r>
      </w:hyperlink>
      <w:r w:rsidRPr="00733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Федерации, Закона Калужской области от 29.06.2012 года № 309-ОЗ «Об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</w:t>
      </w:r>
      <w:r w:rsidRPr="00733B5D">
        <w:rPr>
          <w:rFonts w:ascii="Times New Roman" w:hAnsi="Times New Roman" w:cs="Times New Roman"/>
          <w:sz w:val="24"/>
          <w:szCs w:val="24"/>
        </w:rPr>
        <w:t>области,</w:t>
      </w:r>
      <w:r w:rsidR="00F96FA2" w:rsidRPr="00733B5D">
        <w:rPr>
          <w:rFonts w:ascii="Times New Roman" w:hAnsi="Times New Roman" w:cs="Times New Roman"/>
          <w:sz w:val="24"/>
          <w:szCs w:val="24"/>
        </w:rPr>
        <w:t xml:space="preserve"> </w:t>
      </w:r>
      <w:r w:rsidRPr="00733B5D">
        <w:rPr>
          <w:rFonts w:ascii="Times New Roman" w:hAnsi="Times New Roman" w:cs="Times New Roman"/>
          <w:sz w:val="24"/>
          <w:szCs w:val="24"/>
        </w:rPr>
        <w:t xml:space="preserve">ст. </w:t>
      </w:r>
      <w:r w:rsidR="00733B5D" w:rsidRPr="00733B5D">
        <w:rPr>
          <w:rFonts w:ascii="Times New Roman" w:hAnsi="Times New Roman" w:cs="Times New Roman"/>
          <w:sz w:val="24"/>
          <w:szCs w:val="24"/>
        </w:rPr>
        <w:t>45</w:t>
      </w:r>
      <w:r w:rsidRPr="00733B5D">
        <w:rPr>
          <w:rFonts w:ascii="Times New Roman" w:hAnsi="Times New Roman" w:cs="Times New Roman"/>
          <w:sz w:val="24"/>
          <w:szCs w:val="24"/>
        </w:rPr>
        <w:t xml:space="preserve"> Устава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», в целях упорядочения оплаты труда и повышения социальной защищенности 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F96FA2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sz w:val="24"/>
          <w:szCs w:val="24"/>
        </w:rPr>
        <w:t>», Сельская Дума</w:t>
      </w:r>
    </w:p>
    <w:p w:rsidR="00387E0F" w:rsidRPr="00F96FA2" w:rsidRDefault="00387E0F" w:rsidP="00387E0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FA2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387E0F" w:rsidRDefault="00387E0F" w:rsidP="00387E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Утвердить положение «Об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r w:rsidR="00F96FA2">
        <w:rPr>
          <w:rFonts w:ascii="Times New Roman" w:hAnsi="Times New Roman" w:cs="Times New Roman"/>
          <w:b w:val="0"/>
          <w:sz w:val="24"/>
          <w:szCs w:val="24"/>
        </w:rPr>
        <w:t>Деревня Манино</w:t>
      </w:r>
      <w:r>
        <w:rPr>
          <w:rFonts w:ascii="Times New Roman" w:hAnsi="Times New Roman" w:cs="Times New Roman"/>
          <w:b w:val="0"/>
          <w:sz w:val="24"/>
          <w:szCs w:val="24"/>
        </w:rPr>
        <w:t>» и младшего обслуживающего персонала» (прилагается).</w:t>
      </w:r>
    </w:p>
    <w:p w:rsidR="00387E0F" w:rsidRDefault="00387E0F" w:rsidP="00387E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Признать утратившим силу решение СД от </w:t>
      </w:r>
      <w:r w:rsidR="00101FAC">
        <w:rPr>
          <w:rFonts w:ascii="Times New Roman" w:hAnsi="Times New Roman" w:cs="Times New Roman"/>
          <w:b w:val="0"/>
          <w:sz w:val="24"/>
          <w:szCs w:val="24"/>
        </w:rPr>
        <w:t>27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октября 2019 года № 2</w:t>
      </w:r>
      <w:r w:rsidR="00101FAC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«Об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b w:val="0"/>
          <w:sz w:val="24"/>
          <w:szCs w:val="24"/>
        </w:rPr>
        <w:t>Деревня Манино</w:t>
      </w:r>
      <w:r>
        <w:rPr>
          <w:rFonts w:ascii="Times New Roman" w:hAnsi="Times New Roman" w:cs="Times New Roman"/>
          <w:b w:val="0"/>
          <w:sz w:val="24"/>
          <w:szCs w:val="24"/>
        </w:rPr>
        <w:t>», и младшего обслуживающего персонала».</w:t>
      </w:r>
    </w:p>
    <w:p w:rsidR="00387E0F" w:rsidRDefault="00387E0F" w:rsidP="00387E0F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Настоящее решение вступает в силу с момента  официального опубликования и распространяется на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правоотношения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возникшие с 01 июля 2024 года.</w:t>
      </w: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87E0F" w:rsidRPr="00101FAC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FAC">
        <w:rPr>
          <w:rFonts w:ascii="Times New Roman" w:hAnsi="Times New Roman" w:cs="Times New Roman"/>
          <w:b/>
          <w:bCs/>
          <w:sz w:val="24"/>
          <w:szCs w:val="24"/>
        </w:rPr>
        <w:t>Глава сельского поселения  «</w:t>
      </w:r>
      <w:r w:rsidR="00F96FA2" w:rsidRPr="00101FAC">
        <w:rPr>
          <w:rFonts w:ascii="Times New Roman" w:hAnsi="Times New Roman" w:cs="Times New Roman"/>
          <w:b/>
          <w:bCs/>
          <w:sz w:val="24"/>
          <w:szCs w:val="24"/>
        </w:rPr>
        <w:t xml:space="preserve">Деревня </w:t>
      </w:r>
      <w:proofErr w:type="gramStart"/>
      <w:r w:rsidR="00F96FA2" w:rsidRPr="00101FAC">
        <w:rPr>
          <w:rFonts w:ascii="Times New Roman" w:hAnsi="Times New Roman" w:cs="Times New Roman"/>
          <w:b/>
          <w:bCs/>
          <w:sz w:val="24"/>
          <w:szCs w:val="24"/>
        </w:rPr>
        <w:t>Манино</w:t>
      </w:r>
      <w:proofErr w:type="gramEnd"/>
      <w:r w:rsidRPr="00101FA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101F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1FA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1E127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101FA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bookmarkStart w:id="0" w:name="Par33"/>
      <w:bookmarkEnd w:id="0"/>
      <w:r w:rsidR="00101FAC" w:rsidRPr="00101FAC">
        <w:rPr>
          <w:rFonts w:ascii="Times New Roman" w:hAnsi="Times New Roman" w:cs="Times New Roman"/>
          <w:b/>
          <w:bCs/>
          <w:sz w:val="24"/>
          <w:szCs w:val="24"/>
        </w:rPr>
        <w:t>Ю.В.Симаков</w:t>
      </w:r>
    </w:p>
    <w:p w:rsidR="00387E0F" w:rsidRPr="00101FAC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146" w:rsidRDefault="00A86146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146" w:rsidRDefault="00A86146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146" w:rsidRDefault="00A86146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387E0F" w:rsidRDefault="00387E0F" w:rsidP="00387E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</w:p>
    <w:p w:rsidR="00387E0F" w:rsidRDefault="00387E0F" w:rsidP="00387E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Сельской Думы</w:t>
      </w: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от 20.11.2024  №</w:t>
      </w:r>
      <w:r w:rsidR="00CF4553">
        <w:rPr>
          <w:rFonts w:ascii="Times New Roman" w:hAnsi="Times New Roman" w:cs="Times New Roman"/>
        </w:rPr>
        <w:t xml:space="preserve"> 32</w:t>
      </w: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», и младшего обслуживающего персонала»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87E0F" w:rsidRDefault="00387E0F" w:rsidP="00387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0F" w:rsidRDefault="00387E0F" w:rsidP="00387E0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труда работников, </w:t>
      </w:r>
      <w:r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 xml:space="preserve">», и младшего обслуживающего персонала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окладов и выплат компенсационного и стимулирующего характера.</w:t>
      </w:r>
      <w:proofErr w:type="gramEnd"/>
    </w:p>
    <w:p w:rsidR="00387E0F" w:rsidRDefault="00387E0F" w:rsidP="00387E0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размеры окладов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 согласно приложению № 1 к настоящему Положению.</w:t>
      </w:r>
    </w:p>
    <w:p w:rsidR="00387E0F" w:rsidRDefault="00387E0F" w:rsidP="00387E0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размеры окладов младшего обслуживающего персонала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F96FA2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sz w:val="24"/>
          <w:szCs w:val="24"/>
        </w:rPr>
        <w:t>» согласно приложению № 2 к настоящему Положению.</w:t>
      </w:r>
    </w:p>
    <w:p w:rsidR="00387E0F" w:rsidRDefault="00387E0F" w:rsidP="00387E0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виды, условия применения и размеры выплат компенсационного характера работникам, замещающим должности, не отнесенные к должностям муниципальной службы, и осуществляющим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», и младшего обслуживающего персонала согласно приложению № 3 к настоящему Положению.</w:t>
      </w: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1.5.Установить виды, условия применения и размеры выплат стимулирующего характера работникам, замещающим должности, не отнесенные к должностям муниципальной службы, и осуществляющим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», и младшего обслуживающего персонала согласно приложению № 4 к настоящему Положению.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Установить, что при формировании фонда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», и младшего обслуживающего персонала на календарный год предусматриваются средства в размере 43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Объем бюджетных ассигнований на оплату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», и младшего обслуживающего персонала, предусматриваемый в местном бюджете, не подлежит уменьшению.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Экономия средств по фонду оплаты труда, образовавшаяся в ходе исполнения бюджетной сметы, а также в результате проведения мероприятий по оптимизации штатного расписания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», направляется на выплаты стимулирующего характера работникам, замещающим должности, не отнесенные к должностям муниципальной службы, и осуществляющим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 xml:space="preserve">» и младшему обслуживающему персоналу. </w:t>
      </w:r>
      <w:proofErr w:type="gramEnd"/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387E0F" w:rsidTr="00387E0F">
        <w:tc>
          <w:tcPr>
            <w:tcW w:w="3794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техническое обеспечение деятельности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сельского поселения «</w:t>
            </w:r>
            <w:r w:rsidR="00F96FA2">
              <w:rPr>
                <w:rFonts w:ascii="Times New Roman" w:hAnsi="Times New Roman" w:cs="Times New Roman"/>
              </w:rPr>
              <w:t xml:space="preserve">Деревня </w:t>
            </w:r>
            <w:proofErr w:type="gramStart"/>
            <w:r w:rsidR="00F96FA2">
              <w:rPr>
                <w:rFonts w:ascii="Times New Roman" w:hAnsi="Times New Roman" w:cs="Times New Roman"/>
              </w:rPr>
              <w:t>Манино</w:t>
            </w:r>
            <w:proofErr w:type="gramEnd"/>
            <w:r>
              <w:rPr>
                <w:rFonts w:ascii="Times New Roman" w:hAnsi="Times New Roman" w:cs="Times New Roman"/>
              </w:rPr>
              <w:t>»,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387E0F" w:rsidRDefault="00387E0F" w:rsidP="00387E0F">
      <w:pPr>
        <w:pStyle w:val="ConsPlusTitle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службы, 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техническое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администрации сельского поселения 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96FA2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gramStart"/>
      <w:r w:rsidR="00F96FA2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63"/>
        <w:gridCol w:w="2693"/>
      </w:tblGrid>
      <w:tr w:rsidR="00387E0F" w:rsidTr="00387E0F">
        <w:trPr>
          <w:trHeight w:val="5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окладов,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</w:t>
            </w:r>
          </w:p>
        </w:tc>
      </w:tr>
      <w:tr w:rsidR="00387E0F" w:rsidTr="00387E0F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</w:p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8724</w:t>
            </w:r>
          </w:p>
        </w:tc>
      </w:tr>
    </w:tbl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387E0F" w:rsidTr="00387E0F">
        <w:tc>
          <w:tcPr>
            <w:tcW w:w="3794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техническое обеспечение деятельности администрации сельского поселения «</w:t>
            </w:r>
            <w:r w:rsidR="00F96FA2">
              <w:rPr>
                <w:rFonts w:ascii="Times New Roman" w:hAnsi="Times New Roman" w:cs="Times New Roman"/>
              </w:rPr>
              <w:t>Деревня Манино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  <w:p w:rsidR="00387E0F" w:rsidRDefault="00387E0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младшего обслуживающего персонала администрации сельского поселения «</w:t>
      </w:r>
      <w:r w:rsidR="00F96FA2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gramStart"/>
      <w:r w:rsidR="00F96FA2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8934"/>
        <w:gridCol w:w="1134"/>
      </w:tblGrid>
      <w:tr w:rsidR="00387E0F" w:rsidTr="00387E0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Профессиональная квалификационная группа/квалификационный  уровень </w:t>
            </w:r>
            <w:hyperlink r:id="rId7" w:history="1">
              <w:r>
                <w:rPr>
                  <w:rStyle w:val="a3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Размеры </w:t>
            </w:r>
            <w:r>
              <w:rPr>
                <w:rFonts w:ascii="Times New Roman" w:hAnsi="Times New Roman" w:cs="Times New Roman"/>
              </w:rPr>
              <w:br/>
              <w:t>окладов,</w:t>
            </w:r>
            <w:r>
              <w:rPr>
                <w:rFonts w:ascii="Times New Roman" w:hAnsi="Times New Roman" w:cs="Times New Roman"/>
              </w:rPr>
              <w:br/>
              <w:t xml:space="preserve">  руб.</w:t>
            </w:r>
          </w:p>
        </w:tc>
      </w:tr>
      <w:tr w:rsidR="00387E0F" w:rsidTr="00387E0F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Должности, отнесенные к профессионально-квалификационной   группе (далее - ПКГ) «Общеотраслевые должности служащих  первого уровня»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6354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6530</w:t>
            </w:r>
          </w:p>
        </w:tc>
      </w:tr>
      <w:tr w:rsidR="00387E0F" w:rsidTr="00387E0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6678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7171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7793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8416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8724</w:t>
            </w:r>
          </w:p>
        </w:tc>
      </w:tr>
    </w:tbl>
    <w:tbl>
      <w:tblPr>
        <w:tblStyle w:val="a5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387E0F" w:rsidTr="00387E0F">
        <w:tc>
          <w:tcPr>
            <w:tcW w:w="10632" w:type="dxa"/>
            <w:hideMark/>
          </w:tcPr>
          <w:p w:rsidR="00387E0F" w:rsidRDefault="0038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Примечание.</w:t>
            </w:r>
          </w:p>
          <w:p w:rsidR="00387E0F" w:rsidRDefault="0038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&lt;1&gt; Квалификационный уровень определяется в соответствии с </w:t>
            </w:r>
            <w:hyperlink r:id="rId8" w:history="1">
              <w:r>
                <w:rPr>
                  <w:rStyle w:val="a3"/>
                  <w:sz w:val="16"/>
                  <w:szCs w:val="16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247н «Об утверждении профессиональных квалификационных групп общеотраслевых должностей руководителей, специалистов и служащих», </w:t>
            </w:r>
            <w:hyperlink r:id="rId9" w:history="1">
              <w:r>
                <w:rPr>
                  <w:rStyle w:val="a3"/>
                  <w:sz w:val="16"/>
                  <w:szCs w:val="16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248н «Об утверждении профессиональных квалификационных групп общеотраслевых профессий рабочих».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&lt;2&gt; Должностной оклад </w:t>
            </w:r>
            <w:hyperlink r:id="rId10" w:history="1">
              <w:r>
                <w:rPr>
                  <w:rStyle w:val="a3"/>
                  <w:sz w:val="16"/>
                  <w:szCs w:val="16"/>
                </w:rPr>
                <w:t>раздела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«4 квалификационный уровень» профессиональной квалификационной группы «Общеотраслевые профессии рабочих второго уровня»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Вопрос об установлении конкретному рабочему должностного оклада, предусмотренного </w:t>
            </w:r>
            <w:hyperlink r:id="rId11" w:history="1">
              <w:r>
                <w:rPr>
                  <w:rStyle w:val="a3"/>
                  <w:sz w:val="16"/>
                  <w:szCs w:val="16"/>
                </w:rPr>
                <w:t>разделом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«4 квалификационный уровень» профессиональной квалификационной группы «Общеотраслевые профессии рабочих второго уровня», решается работодателем по согласованию с представительным органом работников с учетом квалификации, объема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выполняемых им работ в пределах средств, направляемых на оплату труда. Указанная оплата может носить как постоянный, так и временный характер.</w:t>
            </w:r>
          </w:p>
        </w:tc>
      </w:tr>
    </w:tbl>
    <w:p w:rsidR="00387E0F" w:rsidRDefault="00387E0F" w:rsidP="00387E0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387E0F" w:rsidTr="00387E0F">
        <w:tc>
          <w:tcPr>
            <w:tcW w:w="3794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3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техническое обеспечение деятельности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сельского поселения «</w:t>
            </w:r>
            <w:r w:rsidR="00F96FA2">
              <w:rPr>
                <w:rFonts w:ascii="Times New Roman" w:hAnsi="Times New Roman" w:cs="Times New Roman"/>
              </w:rPr>
              <w:t xml:space="preserve">Деревня </w:t>
            </w:r>
            <w:proofErr w:type="gramStart"/>
            <w:r w:rsidR="00F96FA2">
              <w:rPr>
                <w:rFonts w:ascii="Times New Roman" w:hAnsi="Times New Roman" w:cs="Times New Roman"/>
              </w:rPr>
              <w:t>Манино</w:t>
            </w:r>
            <w:proofErr w:type="gramEnd"/>
            <w:r>
              <w:rPr>
                <w:rFonts w:ascii="Times New Roman" w:hAnsi="Times New Roman" w:cs="Times New Roman"/>
              </w:rPr>
              <w:t>»,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</w:tc>
      </w:tr>
    </w:tbl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ВИДЫ, УСЛОВИЯ ПРИМЕНЕНИЯ И РАЗМЕРЫ ВЫПЛАТ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КОМПЕНСАЦИОННОГО ХАРАКТЕРА 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387E0F" w:rsidRDefault="00387E0F" w:rsidP="00387E0F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техническое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 и младшего обслуживающего персонала»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Выплаты компенсационного характера и их размер: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Выплаты работникам, за применение в работе дезинфицирующих и токсичных средств устанавливаются в размере 10% от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Выплаты за работу в условиях, отклоняющихся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нормальных, в том числе: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работ различных квалификаций,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устанавливаются в соответствии с законодательством с учетом их содержания и (или) объема.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работу в выходные и нерабочие праздничные дни выплаты производятся в соответствии с действующим законодательством;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размер выплат компенсационного характера рассчитывается в процентах к окладу или в абсолютном значении.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387E0F" w:rsidTr="00387E0F">
        <w:tc>
          <w:tcPr>
            <w:tcW w:w="3794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4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техническое обеспечение деятельности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сельского поселения «</w:t>
            </w:r>
            <w:r w:rsidR="00F96FA2">
              <w:rPr>
                <w:rFonts w:ascii="Times New Roman" w:hAnsi="Times New Roman" w:cs="Times New Roman"/>
              </w:rPr>
              <w:t xml:space="preserve">Деревня </w:t>
            </w:r>
            <w:proofErr w:type="gramStart"/>
            <w:r w:rsidR="00F96FA2">
              <w:rPr>
                <w:rFonts w:ascii="Times New Roman" w:hAnsi="Times New Roman" w:cs="Times New Roman"/>
              </w:rPr>
              <w:t>Манино</w:t>
            </w:r>
            <w:proofErr w:type="gramEnd"/>
            <w:r>
              <w:rPr>
                <w:rFonts w:ascii="Times New Roman" w:hAnsi="Times New Roman" w:cs="Times New Roman"/>
              </w:rPr>
              <w:t>»,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</w:tc>
      </w:tr>
    </w:tbl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ВИДЫ, УСЛОВИЯ ПРИМЕНЕНИЯ И РАЗМЕРЫ ВЫПЛАТ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СТИМУЛИРУЮЩЕГО ХАРАКТЕРА  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387E0F" w:rsidRDefault="00387E0F" w:rsidP="00387E0F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службы, 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техническое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b/>
          <w:sz w:val="24"/>
          <w:szCs w:val="24"/>
        </w:rPr>
        <w:t>Деревня Манино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младшего обслуживающего персонала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pStyle w:val="ConsPlusTitle"/>
        <w:jc w:val="center"/>
        <w:rPr>
          <w:b w:val="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I.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Выплаты стимулирующего характера работникам,  замещающим должности, не отнесенные к должностям муниципальной службы, и осуществляющим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техническое</w:t>
      </w:r>
      <w:proofErr w:type="gramEnd"/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деятельности администрации муниципального района 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Людиново и Людиновский район» (далее работники)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Выплаты стимулирующего характера применяются в целях материального поощрения труда работников.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 выплатам стимулирующего характера работникам относятся: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надбавка за сложность и напряженность в работе;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к окладу за выслугу лет;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денежное поощрение за безупречную и эффективную работу, другие достижения в труде;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премии по результатам работы;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Условия применения и размеры стимулирующих выплат работникам.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Надбавка за сложность и напряженность в работе устанавливается работникам, в размере до 250 процентов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за сложность и напряженность в работе выплачивается работникам за фактически отработанное время.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 условия выплаты ежемесячной надбавки за сложность и напряженность в работе устанавливаются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договорам, локальными нормативными актами работодателя.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Ежемесячная надбавка к окладу за выслугу лет устанавливается работникам</w:t>
      </w:r>
      <w:r w:rsidR="00E04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следующих размерах: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до 8 лет              - 10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8 до 13 лет             - 15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 до 18 лет           - 20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до 23 лет           - 25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свыше 23 лет             - 30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стаж работы, дающий право на получение ежемесячной надбавки к окладу за выслугу лет, включаются периоды работы, установленные </w:t>
      </w:r>
      <w:hyperlink r:id="rId12" w:history="1">
        <w:r>
          <w:rPr>
            <w:rStyle w:val="a3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27 декабря 2007 г. N 808 «Об утверждении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окладу за выслугу лет».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1.2.3. Денежное поощрение за безупречную и эффективную работу, другие достижения в труде работникам, устанавливается ежемесячно в размере до 250 процентов от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 Премирование работников, по результатам работы производится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Размер, порядок и условия премирования работников, по результатам работы устанавливаются в соответствии с коллективным договорам, локальными нормативными актами работодателя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выплачивается в соответствии с размерами, установленными главой администрации,  по распоряжению </w:t>
      </w:r>
      <w:r w:rsidR="00F22BC2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22B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Максимальный размер премии не ограничивается, но не превышает 43 установленных норматива размеров должностных окладов.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 Единовременная выплата работникам, производится при предоставлении ежегодного оплачиваемого отпуска 1 раз в год в размере 2 окладов.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1.2.6. Единовременная выплата вновь принятым сотрудникам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1.2.7. Материальная помощь работникам,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 в пределах фонда оплаты труда. 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1.2.8. Материальная помощь вновь принятым сотрудникам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фонда оплаты труда материальная помощь может выплачиваться на иные цели, по распоряжению администрации на основании заявления работника в размерах, установленных главой администрации в зависимости от периода работы и конкретного вклада каждого работника. В случае смерти работника, замещающего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отнесенную к должности муниципальной службы,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II. Выплаты стимулирующего характера</w:t>
      </w:r>
    </w:p>
    <w:p w:rsidR="000D5D6C" w:rsidRDefault="00387E0F" w:rsidP="000D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младшему обслуживающему персоналу администрации</w:t>
      </w:r>
    </w:p>
    <w:p w:rsidR="000D5D6C" w:rsidRPr="000D5D6C" w:rsidRDefault="00387E0F" w:rsidP="000D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D6C" w:rsidRPr="000D5D6C"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</w:t>
      </w:r>
      <w:proofErr w:type="gramStart"/>
      <w:r w:rsidR="000D5D6C" w:rsidRPr="000D5D6C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="000D5D6C" w:rsidRPr="000D5D6C">
        <w:rPr>
          <w:rFonts w:ascii="Times New Roman" w:hAnsi="Times New Roman" w:cs="Times New Roman"/>
          <w:sz w:val="24"/>
          <w:szCs w:val="24"/>
        </w:rPr>
        <w:t>»</w:t>
      </w:r>
    </w:p>
    <w:p w:rsidR="00387E0F" w:rsidRDefault="00387E0F" w:rsidP="000D5D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стимулирующего характера применяются в целях материального поощрения труда младшего обслуживающего персонала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 выплатам стимулирующего характера младшего обслуживающего персонала относятся: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надбавка за интенсивность и высокие результаты работы;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надбавка водителям автомобилей за классность;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надбавка водителям автомобилей за безаварийную эксплуатацию автомобиля;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премия по результатам работы;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единовременная выплата при предоставлении ежегодного оплачиваемого отпуска;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материальная помощь;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денежное поощрение.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Условия применения и размеры стимулирующих выплат младшего обслуживающего персонала: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2.2.1. Надбавка за интенсивность и высокие результаты работы устанавливается младшему обслуживающему персоналу ежемесячно в размере до 250 % от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за интенсивность и высокие результаты работы выплачивается младшему обслуживающему персоналу за фактически отработанное время.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Основными критериями для установления надбавки являются: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работником своих должностных обязанностей в условиях, существенно отличающихся от нормальных (особый режим и график работы, тяжесть, сложность, повышенные требования к качеству работ);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работников к выполнению непредвиденных, особо важных, срочных и ответственных работ и работ, выполняемых в чрезвычайных обстоятельствах;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 за отличное состояние и высокое качество работы.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устанавливается распоряжением администрации ежемесячно в процентах к должностному окладу. В распоряжении администрации указываются основания (критерии) для установления ежемесячной надбавки конкретному работнику и период ее выплаты.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распоряжению администрации ранее установленный размер ежемесячной надбавки работника может быть уменьшен или прекращена ее выплата до истечения определенного распоряжением срока при невыполнении критериев ее выплаты или нарушениях трудовой дисциплины.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Надбавка за классность устанавливается водителям автомобилей, имеющим 1-й класс, в размере 25 процентов оклада; имеющим 2-й класс, - в размере 10 процентов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Надбавка водителям автомобилей за безаварийную эксплуатацию автомобиля устанавливается в размере до 200 процентов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Надбавка водителям автомобилей за безаварийную эксплуатацию автомобиля устанавливается ежемесячно распоряжением администрации в процентах к должностному окладу. В распоряжении администрации указываются основания (критерии) для установления данной на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дбавки конкретному работнику и период ее выплаты.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Премирование младшего обслуживающего персонала производится по результатам работы,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Размер, порядок и условия премирования работников, по результатам работы устанавливаются в соответствии с коллективным договорам, локальными нормативными актами работодателя</w:t>
      </w:r>
      <w:r w:rsidR="00112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и</w:t>
      </w:r>
      <w:r w:rsidR="00112E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выплачивается в соответствии с размерами, установленными главой администрации,  по распоряжению </w:t>
      </w:r>
      <w:r w:rsidR="00585462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5854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Максимальный размер премии не ограничивается, но не превышает 43 установленных норматива размеров должностных окладов.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Единовременная выплата младшему обслуживающему персоналу производится при предоставлении ежегодного оплачиваемого отпуска 1 раз в год в размере 2 окладов.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Единовременная выплата вновь принятым сотрудникам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Материальная помощь младшему обслуживающему персоналу,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 в пределах фонда оплаты труда. 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Материальная помощь вновь принятым сотрудникам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наличии фонда оплаты труда материальная помощь может выплачиваться на иные цели, по распоряжению администрации на основании заявления работника в размерах, установленных главой администрации в зависимости от периода работы и конкретного вклада каждого работника.  В случае смерти работника,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Денежное поощрение устанавливается младшему обслуживающему персоналу ежемесячно в размере до 200 % от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критериями для установления денежного поощрения являются: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профессиональный уровень выполнения должностных обязанностей в соответствии с должностной инструкцией;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сложность и срочность выполняемой работы;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:rsidR="00387E0F" w:rsidRDefault="00387E0F" w:rsidP="00387E0F"/>
    <w:p w:rsidR="006B4AC5" w:rsidRDefault="006B4AC5"/>
    <w:sectPr w:rsidR="006B4AC5" w:rsidSect="00C6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181B"/>
    <w:multiLevelType w:val="multilevel"/>
    <w:tmpl w:val="F1608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387E0F"/>
    <w:rsid w:val="00026D10"/>
    <w:rsid w:val="000D5D6C"/>
    <w:rsid w:val="00101FAC"/>
    <w:rsid w:val="00112E0C"/>
    <w:rsid w:val="001E127A"/>
    <w:rsid w:val="00387E0F"/>
    <w:rsid w:val="0043291B"/>
    <w:rsid w:val="00483D4D"/>
    <w:rsid w:val="00533199"/>
    <w:rsid w:val="00585462"/>
    <w:rsid w:val="0068004B"/>
    <w:rsid w:val="006B4AC5"/>
    <w:rsid w:val="00733B5D"/>
    <w:rsid w:val="008D53BD"/>
    <w:rsid w:val="00A86146"/>
    <w:rsid w:val="00B642BA"/>
    <w:rsid w:val="00C34E2D"/>
    <w:rsid w:val="00C602B0"/>
    <w:rsid w:val="00CF4553"/>
    <w:rsid w:val="00E04993"/>
    <w:rsid w:val="00F22BC2"/>
    <w:rsid w:val="00F9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B0"/>
  </w:style>
  <w:style w:type="paragraph" w:styleId="1">
    <w:name w:val="heading 1"/>
    <w:basedOn w:val="a"/>
    <w:next w:val="a"/>
    <w:link w:val="10"/>
    <w:qFormat/>
    <w:rsid w:val="00387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36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E0F"/>
    <w:rPr>
      <w:rFonts w:ascii="Times New Roman" w:eastAsia="Times New Roman" w:hAnsi="Times New Roman" w:cs="Times New Roman"/>
      <w:b/>
      <w:spacing w:val="60"/>
      <w:sz w:val="36"/>
      <w:szCs w:val="60"/>
    </w:rPr>
  </w:style>
  <w:style w:type="character" w:styleId="a3">
    <w:name w:val="Hyperlink"/>
    <w:basedOn w:val="a0"/>
    <w:uiPriority w:val="99"/>
    <w:semiHidden/>
    <w:unhideWhenUsed/>
    <w:rsid w:val="00387E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7E0F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387E0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styleId="a5">
    <w:name w:val="Table Grid"/>
    <w:basedOn w:val="a1"/>
    <w:uiPriority w:val="59"/>
    <w:rsid w:val="00387E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6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E02DE9362C608D4F303B6872E73C459837843DDC9BCA21BF96A83U154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DE02DE9362C608D4F31DBB91422DCA568C2748DCC6E8FA4BFF3DDC440DA838D45F0C95D9C841C2F221B8UC59J" TargetMode="External"/><Relationship Id="rId12" Type="http://schemas.openxmlformats.org/officeDocument/2006/relationships/hyperlink" Target="consultantplus://offline/ref=296BE9260734E14E0E37CA0F27B9025A1688EAFF69FE4E29C164D1B84Bu9K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00E486BC4AD7D56080AD3739051DFE9700FE50339726EED850B3F21F9A81F8FD4E344515m1N1P" TargetMode="External"/><Relationship Id="rId11" Type="http://schemas.openxmlformats.org/officeDocument/2006/relationships/hyperlink" Target="consultantplus://offline/ref=61DE02DE9362C608D4F31DBB91422DCA568C2748DCC6E8FA4BFF3DDC440DA838D45F0C95D9C841C2F221B8UC5BJ" TargetMode="External"/><Relationship Id="rId5" Type="http://schemas.openxmlformats.org/officeDocument/2006/relationships/hyperlink" Target="consultantplus://offline/ref=D400E486BC4AD7D56080AD3739051DFE9700FE50339726EED850B3F21F9A81F8FD4E344519m1N5P" TargetMode="External"/><Relationship Id="rId10" Type="http://schemas.openxmlformats.org/officeDocument/2006/relationships/hyperlink" Target="consultantplus://offline/ref=61DE02DE9362C608D4F31DBB91422DCA568C2748DCC6E8FA4BFF3DDC440DA838D45F0C95D9C841C2F221B8UC5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DE02DE9362C608D4F303B6872E73C4568E7C42D9C9BCA21BF96A83U15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3110</Words>
  <Characters>17727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2024-11-27T06:28:00Z</dcterms:created>
  <dcterms:modified xsi:type="dcterms:W3CDTF">2024-11-28T11:06:00Z</dcterms:modified>
</cp:coreProperties>
</file>